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jc w:val="center"/>
      </w:pPr>
      <w:r>
        <w:rPr>
          <w:rFonts w:ascii="Arial" w:cs="Arial" w:eastAsia="Arial" w:hAnsi="Arial"/>
          <w:b/>
          <w:bCs/>
          <w:color w:val="1a3a6b"/>
          <w:sz w:val="48"/>
          <w:szCs w:val="48"/>
        </w:rPr>
        <w:t xml:space="preserve">ASYMMETRIC HYDRAULIC PENDULUM WHEEL</w:t>
      </w:r>
    </w:p>
    <w:p>
      <w:pPr>
        <w:spacing w:before="120"/>
        <w:jc w:val="center"/>
      </w:pPr>
      <w:r>
        <w:rPr>
          <w:rFonts w:ascii="Arial" w:cs="Arial" w:eastAsia="Arial" w:hAnsi="Arial"/>
          <w:b/>
          <w:bCs/>
          <w:i/>
          <w:iCs/>
          <w:color w:val="2e5fa3"/>
          <w:sz w:val="28"/>
          <w:szCs w:val="28"/>
        </w:rPr>
        <w:t xml:space="preserve">A Novel Mechanism for Sustained Gravitational Torque</w:t>
      </w:r>
    </w:p>
    <w:p>
      <w:pPr>
        <w:pBdr>
          <w:bottom w:val="single" w:color="2e5fa3" w:sz="6" w:space="1"/>
        </w:pBdr>
        <w:spacing w:after="120" w:before="120"/>
      </w:pPr>
      <w:r>
        <w:t xml:space="preserve"/>
      </w:r>
    </w:p>
    <w:p>
      <w:pPr>
        <w:spacing w:before="200"/>
        <w:jc w:val="center"/>
      </w:pPr>
      <w:r>
        <w:rPr>
          <w:rFonts w:ascii="Arial" w:cs="Arial" w:eastAsia="Arial" w:hAnsi="Arial"/>
          <w:b/>
          <w:bCs/>
          <w:sz w:val="24"/>
          <w:szCs w:val="24"/>
        </w:rPr>
        <w:t xml:space="preserve">Inventor &amp; Author: Mustafa Sayed Sharif</w:t>
      </w:r>
    </w:p>
    <w:p>
      <w:pPr>
        <w:jc w:val="center"/>
      </w:pPr>
      <w:r>
        <w:rPr>
          <w:rFonts w:ascii="Arial" w:cs="Arial" w:eastAsia="Arial" w:hAnsi="Arial"/>
          <w:color w:val="555555"/>
          <w:sz w:val="22"/>
          <w:szCs w:val="22"/>
        </w:rPr>
        <w:t xml:space="preserve">Co-Founder, MaelshPro Technical Solutions</w:t>
      </w:r>
    </w:p>
    <w:p>
      <w:pPr>
        <w:jc w:val="center"/>
      </w:pPr>
      <w:r>
        <w:rPr>
          <w:rFonts w:ascii="Arial" w:cs="Arial" w:eastAsia="Arial" w:hAnsi="Arial"/>
          <w:color w:val="2e5fa3"/>
          <w:sz w:val="22"/>
          <w:szCs w:val="22"/>
        </w:rPr>
        <w:t xml:space="preserve">Email: maelshspro@gmail.com</w:t>
      </w:r>
    </w:p>
    <w:p>
      <w:pPr>
        <w:spacing w:before="120"/>
        <w:jc w:val="center"/>
      </w:pPr>
      <w:r>
        <w:rPr>
          <w:rFonts w:ascii="Arial" w:cs="Arial" w:eastAsia="Arial" w:hAnsi="Arial"/>
          <w:color w:val="888888"/>
          <w:sz w:val="22"/>
          <w:szCs w:val="22"/>
        </w:rPr>
        <w:t xml:space="preserve">2026</w:t>
      </w:r>
    </w:p>
    <w:p>
      <w:pPr>
        <w:pBdr>
          <w:bottom w:val="single" w:color="2e5fa3" w:sz="6" w:space="1"/>
        </w:pBdr>
        <w:spacing w:after="120" w:before="120"/>
      </w:pPr>
      <w:r>
        <w:t xml:space="preserve"/>
      </w:r>
    </w:p>
    <w:p>
      <w:pPr>
        <w:shd w:fill="FFF8E1" w:val="clear"/>
        <w:spacing w:after="200" w:before="200"/>
        <w:jc w:val="center"/>
      </w:pPr>
      <w:r>
        <w:rPr>
          <w:rFonts w:ascii="Arial" w:cs="Arial" w:eastAsia="Arial" w:hAnsi="Arial"/>
          <w:b/>
          <w:bCs/>
          <w:color w:val="b8860b"/>
          <w:sz w:val="22"/>
          <w:szCs w:val="22"/>
        </w:rPr>
        <w:t xml:space="preserve">Open Innovation License</w:t>
      </w:r>
    </w:p>
    <w:p>
      <w:pPr>
        <w:spacing w:after="100" w:before="100"/>
        <w:jc w:val="both"/>
      </w:pPr>
      <w:r>
        <w:rPr>
          <w:rFonts w:ascii="Arial" w:cs="Arial" w:eastAsia="Arial" w:hAnsi="Arial"/>
          <w:color w:val="000000"/>
          <w:sz w:val="20"/>
          <w:szCs w:val="20"/>
        </w:rPr>
        <w:t xml:space="preserve">This concept is freely available for any individual, researcher, or organization to study, build upon, and implement for peaceful and beneficial purposes. Prohibited uses include: military applications, harmful weaponization, or any activity causing harm to human beings or the environment. Commercial exploitation of this idea or its derivatives requires prior written consent from the inventor, Mustafa Sayed Sharif, or his heirs. No person may claim ownership or intellectual authorship of this concept.</w:t>
      </w:r>
    </w:p>
    <w:p>
      <w:pPr>
        <w:pBdr>
          <w:bottom w:val="single" w:color="2e5fa3" w:sz="6" w:space="1"/>
        </w:pBdr>
        <w:spacing w:after="120" w:before="120"/>
      </w:pPr>
      <w:r>
        <w:t xml:space="preserve"/>
      </w:r>
    </w:p>
    <w:p>
      <w:pPr>
        <w:pStyle w:val="Heading1"/>
        <w:spacing w:after="180" w:before="360"/>
      </w:pPr>
      <w:r>
        <w:rPr>
          <w:rFonts w:ascii="Arial" w:cs="Arial" w:eastAsia="Arial" w:hAnsi="Arial"/>
          <w:b/>
          <w:bCs/>
          <w:color w:val="1a3a6b"/>
          <w:sz w:val="32"/>
          <w:szCs w:val="32"/>
        </w:rPr>
        <w:t xml:space="preserve">Abstract</w:t>
      </w:r>
    </w:p>
    <w:p>
      <w:pPr>
        <w:spacing w:after="100" w:before="100"/>
        <w:jc w:val="both"/>
      </w:pPr>
      <w:r>
        <w:rPr>
          <w:rFonts w:ascii="Arial" w:cs="Arial" w:eastAsia="Arial" w:hAnsi="Arial"/>
          <w:color w:val="000000"/>
          <w:sz w:val="22"/>
          <w:szCs w:val="22"/>
        </w:rPr>
        <w:t xml:space="preserve">This paper presents the Asymmetric Hydraulic Pendulum Wheel (AHPW), a mechanism in which fluid-coupled piston pairs — arranged radially on a rotating wheel — continuously transfer fluid mass to the gravitationally favorable (descending) side of the wheel. The result is a sustained net torque imbalance between the right and left halves of the wheel throughout the full 360-degree rotation cycle. Unlike classical overbalanced wheel attempts, the AHPW achieves asymmetry through active fluid redistribution driven by the combined weight of paired pistons, whose mass exceeds that of the fluid column they displace. Computational simulation reveals a positive net gravitational work integral (∫τ dθ ≠ 0) over a complete revolution, accompanied by no static equilibrium configuration under operational conditions. This paper details the mechanical principle, logical derivation, simulation results, and open questions for experimental verification.</w:t>
      </w:r>
    </w:p>
    <w:p>
      <w:pPr>
        <w:pStyle w:val="Heading1"/>
        <w:spacing w:after="180" w:before="360"/>
      </w:pPr>
      <w:r>
        <w:rPr>
          <w:rFonts w:ascii="Arial" w:cs="Arial" w:eastAsia="Arial" w:hAnsi="Arial"/>
          <w:b/>
          <w:bCs/>
          <w:color w:val="1a3a6b"/>
          <w:sz w:val="32"/>
          <w:szCs w:val="32"/>
        </w:rPr>
        <w:t xml:space="preserve">1. Introduction</w:t>
      </w:r>
    </w:p>
    <w:p>
      <w:pPr>
        <w:spacing w:after="100" w:before="100"/>
        <w:jc w:val="both"/>
      </w:pPr>
      <w:r>
        <w:rPr>
          <w:rFonts w:ascii="Arial" w:cs="Arial" w:eastAsia="Arial" w:hAnsi="Arial"/>
          <w:color w:val="000000"/>
          <w:sz w:val="22"/>
          <w:szCs w:val="22"/>
        </w:rPr>
        <w:t xml:space="preserve">The pursuit of mechanisms that sustain rotational motion through gravitational asymmetry has a long history in mechanical engineering. Classical pendulum wheels, overbalanced wheels, and hydraulic-assist rotors have all been proposed and — in most cases — shown to fail energy conservation tests due to symmetric potential energy profiles over complete rotational cycles.</w:t>
      </w:r>
    </w:p>
    <w:p>
      <w:pPr>
        <w:spacing w:after="100" w:before="100"/>
        <w:jc w:val="both"/>
      </w:pPr>
      <w:r>
        <w:rPr>
          <w:rFonts w:ascii="Arial" w:cs="Arial" w:eastAsia="Arial" w:hAnsi="Arial"/>
          <w:color w:val="000000"/>
          <w:sz w:val="22"/>
          <w:szCs w:val="22"/>
        </w:rPr>
        <w:t xml:space="preserve">The AHPW departs from these prior attempts by introducing a key innovation: paired piston-coupled chambers that act as a Z-shaped hydraulic connector between diametrically opposite points on the wheel. When the wheel occupies a specific angular range, the heavier pistons (80 kg each) drive fluid (up to 60 kg) through the connecting channel toward the upper-right chamber, creating a persistent mass concentration on the right half of the wheel. As the wheel rotates, the next pair of chambers replicates this action, maintaining the asymmetry without interruption.</w:t>
      </w:r>
    </w:p>
    <w:p>
      <w:pPr>
        <w:pStyle w:val="Heading2"/>
        <w:spacing w:after="120" w:before="240"/>
      </w:pPr>
      <w:r>
        <w:rPr>
          <w:rFonts w:ascii="Arial" w:cs="Arial" w:eastAsia="Arial" w:hAnsi="Arial"/>
          <w:b/>
          <w:bCs/>
          <w:color w:val="2e5fa3"/>
          <w:sz w:val="26"/>
          <w:szCs w:val="26"/>
        </w:rPr>
        <w:t xml:space="preserve">1.1 Motivation</w:t>
      </w:r>
    </w:p>
    <w:p>
      <w:pPr>
        <w:spacing w:after="100" w:before="100"/>
        <w:jc w:val="both"/>
      </w:pPr>
      <w:r>
        <w:rPr>
          <w:rFonts w:ascii="Arial" w:cs="Arial" w:eastAsia="Arial" w:hAnsi="Arial"/>
          <w:color w:val="000000"/>
          <w:sz w:val="22"/>
          <w:szCs w:val="22"/>
        </w:rPr>
        <w:t xml:space="preserve">Existing renewable energy mechanisms rely on external energy inputs (wind, water flow, solar radiation). The AHPW explores whether gravitational potential can be harnessed through internal mass redistribution to produce a net rotational effect. The question is not whether perpetual motion is achievable — it is whether a sustained torque differential can be maintained long enough to be practically useful.</w:t>
      </w:r>
    </w:p>
    <w:p>
      <w:pPr>
        <w:pStyle w:val="Heading2"/>
        <w:spacing w:after="120" w:before="240"/>
      </w:pPr>
      <w:r>
        <w:rPr>
          <w:rFonts w:ascii="Arial" w:cs="Arial" w:eastAsia="Arial" w:hAnsi="Arial"/>
          <w:b/>
          <w:bCs/>
          <w:color w:val="2e5fa3"/>
          <w:sz w:val="26"/>
          <w:szCs w:val="26"/>
        </w:rPr>
        <w:t xml:space="preserve">1.2 Scope of This Paper</w:t>
      </w:r>
    </w:p>
    <w:p>
      <w:pPr>
        <w:spacing w:after="100" w:before="100"/>
        <w:jc w:val="both"/>
      </w:pPr>
      <w:r>
        <w:rPr>
          <w:rFonts w:ascii="Arial" w:cs="Arial" w:eastAsia="Arial" w:hAnsi="Arial"/>
          <w:color w:val="000000"/>
          <w:sz w:val="22"/>
          <w:szCs w:val="22"/>
        </w:rPr>
        <w:t xml:space="preserve">This paper focuses on the mechanical logic, the simulation framework, and the thermodynamic energy analysis. It does not claim violation of conservation laws but presents evidence from simulation requiring experimental resolution.</w:t>
      </w:r>
    </w:p>
    <w:p>
      <w:pPr>
        <w:pStyle w:val="Heading1"/>
        <w:spacing w:after="180" w:before="360"/>
      </w:pPr>
      <w:r>
        <w:rPr>
          <w:rFonts w:ascii="Arial" w:cs="Arial" w:eastAsia="Arial" w:hAnsi="Arial"/>
          <w:b/>
          <w:bCs/>
          <w:color w:val="1a3a6b"/>
          <w:sz w:val="32"/>
          <w:szCs w:val="32"/>
        </w:rPr>
        <w:t xml:space="preserve">2. Mechanical Principle</w:t>
      </w:r>
    </w:p>
    <w:p>
      <w:pPr>
        <w:pStyle w:val="Heading2"/>
        <w:spacing w:after="120" w:before="240"/>
      </w:pPr>
      <w:r>
        <w:rPr>
          <w:rFonts w:ascii="Arial" w:cs="Arial" w:eastAsia="Arial" w:hAnsi="Arial"/>
          <w:b/>
          <w:bCs/>
          <w:color w:val="2e5fa3"/>
          <w:sz w:val="26"/>
          <w:szCs w:val="26"/>
        </w:rPr>
        <w:t xml:space="preserve">2.1 The Z-Piston Unit</w:t>
      </w:r>
    </w:p>
    <w:p>
      <w:pPr>
        <w:spacing w:after="100" w:before="100"/>
        <w:jc w:val="both"/>
      </w:pPr>
      <w:r>
        <w:rPr>
          <w:rFonts w:ascii="Arial" w:cs="Arial" w:eastAsia="Arial" w:hAnsi="Arial"/>
          <w:color w:val="000000"/>
          <w:sz w:val="22"/>
          <w:szCs w:val="22"/>
        </w:rPr>
        <w:t xml:space="preserve">Each AHPW unit consists of two cylindrical chambers positioned diametrically opposite on the wheel, connected by an angled fluid channel (the Z-connector). Inside each chamber slides a piston of mass M_p. The fluid (mass M_w ≤ M_w_max) fills the space between the pistons through the connecting channel. The channel angle is chosen such that — within the 0° to 180° arc on the descending right side — the gravitational component along the channel drives both pistons toward the right, pushing fluid upward into the upper-right chamber.</w:t>
      </w:r>
    </w:p>
    <w:p>
      <w:pPr>
        <w:pStyle w:val="Heading2"/>
        <w:spacing w:after="120" w:before="240"/>
      </w:pPr>
      <w:r>
        <w:rPr>
          <w:rFonts w:ascii="Arial" w:cs="Arial" w:eastAsia="Arial" w:hAnsi="Arial"/>
          <w:b/>
          <w:bCs/>
          <w:color w:val="2e5fa3"/>
          <w:sz w:val="26"/>
          <w:szCs w:val="26"/>
        </w:rPr>
        <w:t xml:space="preserve">2.2 Phase Analysis (Single Z-Unit)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13"/>
        <w:gridCol w:w="2513"/>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Angle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Piston Action</w:t>
            </w:r>
          </w:p>
        </w:tc>
        <w:tc>
          <w:tcPr>
            <w:tcW w:type="dxa" w:w="2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Fluid Location</w:t>
            </w:r>
          </w:p>
        </w:tc>
        <w:tc>
          <w:tcPr>
            <w:tcW w:type="dxa" w:w="2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Net Torque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Pistons at leftmost position</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chamber (right side)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&gt; Left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Pistons migrate rightward; fluid rises</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Rising through Z-channel</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&gt; Left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Pistons at rightmost position</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 chamber (right side)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&gt; Left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Pistons hold position</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 chamber</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&gt; Left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Wheel balanced — next pair activates</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chamber</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Neutral → renews</w:t>
            </w:r>
          </w:p>
        </w:tc>
      </w:tr>
    </w:tbl>
    <w:p>
      <w:pPr>
        <w:spacing w:after="140" w:before="60"/>
      </w:pPr>
      <w:r>
        <w:rPr>
          <w:rFonts w:ascii="Arial" w:cs="Arial" w:eastAsia="Arial" w:hAnsi="Arial"/>
          <w:i/>
          <w:iCs/>
          <w:color w:val="555555"/>
          <w:sz w:val="18"/>
          <w:szCs w:val="18"/>
        </w:rPr>
        <w:t xml:space="preserve">Table 1: Phase analysis of single Z-piston unit</w:t>
      </w:r>
    </w:p>
    <w:p>
      <w:pPr>
        <w:pStyle w:val="Heading2"/>
        <w:spacing w:after="120" w:before="240"/>
      </w:pPr>
      <w:r>
        <w:rPr>
          <w:rFonts w:ascii="Arial" w:cs="Arial" w:eastAsia="Arial" w:hAnsi="Arial"/>
          <w:b/>
          <w:bCs/>
          <w:color w:val="2e5fa3"/>
          <w:sz w:val="26"/>
          <w:szCs w:val="26"/>
        </w:rPr>
        <w:t xml:space="preserve">2.3 Multi-Unit Configuration</w:t>
      </w:r>
    </w:p>
    <w:p>
      <w:pPr>
        <w:spacing w:after="100" w:before="100"/>
        <w:jc w:val="both"/>
      </w:pPr>
      <w:r>
        <w:rPr>
          <w:rFonts w:ascii="Arial" w:cs="Arial" w:eastAsia="Arial" w:hAnsi="Arial"/>
          <w:color w:val="000000"/>
          <w:sz w:val="22"/>
          <w:szCs w:val="22"/>
        </w:rPr>
        <w:t xml:space="preserve">With N chambers (N even, N ≥ 8), adjacent Z-units are angularly offset by 2π/N. This guarantees that at any given wheel angle, at least one unit is actively driving fluid rightward, and no dead-point configuration exists. The right half of the wheel consistently carries more fluid mass than the left, producing a persistent clockwise torque.</w:t>
      </w:r>
    </w:p>
    <w:p>
      <w:pPr>
        <w:pStyle w:val="Heading2"/>
        <w:spacing w:after="120" w:before="240"/>
      </w:pPr>
      <w:r>
        <w:rPr>
          <w:rFonts w:ascii="Arial" w:cs="Arial" w:eastAsia="Arial" w:hAnsi="Arial"/>
          <w:b/>
          <w:bCs/>
          <w:color w:val="2e5fa3"/>
          <w:sz w:val="26"/>
          <w:szCs w:val="26"/>
        </w:rPr>
        <w:t xml:space="preserve">2.4 Why Pistons Do Not Require External Energy</w:t>
      </w:r>
    </w:p>
    <w:p>
      <w:pPr>
        <w:spacing w:after="100" w:before="100"/>
        <w:jc w:val="both"/>
      </w:pPr>
      <w:r>
        <w:rPr>
          <w:rFonts w:ascii="Arial" w:cs="Arial" w:eastAsia="Arial" w:hAnsi="Arial"/>
          <w:color w:val="000000"/>
          <w:sz w:val="22"/>
          <w:szCs w:val="22"/>
        </w:rPr>
        <w:t xml:space="preserve">A critical feature of the AHPW is that fluid transfer is piston-driven, not pump-driven. The pistons fall under gravity along the Z-channel. Since M_piston (80 kg) &gt;&gt; M_fluid_column (≤ 60 kg), the net gravitational force on the piston pair always exceeds the hydrostatic resistance of the fluid. The pistons do not lift fluid — they displace it along an angled path. The energy cost is included in the gravitational potential energy budget of the piston masses themselves.</w:t>
      </w:r>
    </w:p>
    <w:p>
      <w:pPr>
        <w:pStyle w:val="Heading1"/>
        <w:spacing w:after="180" w:before="360"/>
      </w:pPr>
      <w:r>
        <w:rPr>
          <w:rFonts w:ascii="Arial" w:cs="Arial" w:eastAsia="Arial" w:hAnsi="Arial"/>
          <w:b/>
          <w:bCs/>
          <w:color w:val="1a3a6b"/>
          <w:sz w:val="32"/>
          <w:szCs w:val="32"/>
        </w:rPr>
        <w:t xml:space="preserve">3. Torque Analysis</w:t>
      </w:r>
    </w:p>
    <w:p>
      <w:pPr>
        <w:pStyle w:val="Heading2"/>
        <w:spacing w:after="120" w:before="240"/>
      </w:pPr>
      <w:r>
        <w:rPr>
          <w:rFonts w:ascii="Arial" w:cs="Arial" w:eastAsia="Arial" w:hAnsi="Arial"/>
          <w:b/>
          <w:bCs/>
          <w:color w:val="2e5fa3"/>
          <w:sz w:val="26"/>
          <w:szCs w:val="26"/>
        </w:rPr>
        <w:t xml:space="preserve">3.1 Static Torque Calculation</w:t>
      </w:r>
    </w:p>
    <w:p>
      <w:pPr>
        <w:spacing w:after="100" w:before="100"/>
        <w:jc w:val="both"/>
      </w:pPr>
      <w:r>
        <w:rPr>
          <w:rFonts w:ascii="Arial" w:cs="Arial" w:eastAsia="Arial" w:hAnsi="Arial"/>
          <w:color w:val="000000"/>
          <w:sz w:val="22"/>
          <w:szCs w:val="22"/>
        </w:rPr>
        <w:t xml:space="preserve">Consider 8 chambers with M_p = 80 kg, M_w_max = 60 kg, orbital radius R = 0.3 m. Assuming ideal fluid redistribution (right half full, left half empty):</w:t>
      </w:r>
    </w:p>
    <w:p>
      <w:pPr>
        <w:spacing w:after="100" w:before="100"/>
        <w:jc w:val="center"/>
      </w:pPr>
      <w:r>
        <w:rPr>
          <w:rFonts w:ascii="Courier New" w:cs="Courier New" w:eastAsia="Courier New" w:hAnsi="Courier New"/>
          <w:b/>
          <w:bCs/>
          <w:sz w:val="22"/>
          <w:szCs w:val="22"/>
        </w:rPr>
        <w:t xml:space="preserve">τ_right = Σ (M_p + M_w) · g · R · sin(θᵢ)  for θᵢ ∈ {45°, 90°, 135°}</w:t>
      </w:r>
    </w:p>
    <w:p>
      <w:pPr>
        <w:spacing w:after="100" w:before="80"/>
        <w:jc w:val="center"/>
      </w:pPr>
      <w:r>
        <w:rPr>
          <w:rFonts w:ascii="Courier New" w:cs="Courier New" w:eastAsia="Courier New" w:hAnsi="Courier New"/>
          <w:b/>
          <w:bCs/>
          <w:color w:val="2e5fa3"/>
          <w:sz w:val="22"/>
          <w:szCs w:val="22"/>
        </w:rPr>
        <w:t xml:space="preserve">τ_right ≈ 337.98 × g × R  |  τ_left ≈ 193.14 × g × R  |  Δτ ≈ +144.84 × g × R</w:t>
      </w:r>
    </w:p>
    <w:p>
      <w:pPr>
        <w:spacing w:after="100" w:before="100"/>
        <w:jc w:val="both"/>
      </w:pPr>
      <w:r>
        <w:rPr>
          <w:rFonts w:ascii="Arial" w:cs="Arial" w:eastAsia="Arial" w:hAnsi="Arial"/>
          <w:color w:val="000000"/>
          <w:sz w:val="22"/>
          <w:szCs w:val="22"/>
        </w:rPr>
        <w:t xml:space="preserve">This static analysis confirms a persistent positive torque imbalance of approximately 43% of the right-side torque.</w:t>
      </w:r>
    </w:p>
    <w:p>
      <w:pPr>
        <w:pStyle w:val="Heading2"/>
        <w:spacing w:after="120" w:before="240"/>
      </w:pPr>
      <w:r>
        <w:rPr>
          <w:rFonts w:ascii="Arial" w:cs="Arial" w:eastAsia="Arial" w:hAnsi="Arial"/>
          <w:b/>
          <w:bCs/>
          <w:color w:val="2e5fa3"/>
          <w:sz w:val="26"/>
          <w:szCs w:val="26"/>
        </w:rPr>
        <w:t xml:space="preserve">3.2 Dynamic Simulation Results</w:t>
      </w:r>
    </w:p>
    <w:p>
      <w:pPr>
        <w:spacing w:after="100" w:before="100"/>
        <w:jc w:val="both"/>
      </w:pPr>
      <w:r>
        <w:rPr>
          <w:rFonts w:ascii="Arial" w:cs="Arial" w:eastAsia="Arial" w:hAnsi="Arial"/>
          <w:color w:val="000000"/>
          <w:sz w:val="22"/>
          <w:szCs w:val="22"/>
        </w:rPr>
        <w:t xml:space="preserve">The computational simulation (8 chambers, M_p = 80 kg, M_w_max = 60 kg, η = 150 N·s/m) shows:</w:t>
      </w:r>
    </w:p>
    <w:p>
      <w:pPr>
        <w:pStyle w:val="ListParagraph"/>
        <w:numPr>
          <w:ilvl w:val="0"/>
          <w:numId w:val="2"/>
        </w:numPr>
        <w:spacing w:after="60" w:before="60"/>
      </w:pPr>
      <w:r>
        <w:rPr>
          <w:rFonts w:ascii="Arial" w:cs="Arial" w:eastAsia="Arial" w:hAnsi="Arial"/>
          <w:sz w:val="22"/>
          <w:szCs w:val="22"/>
        </w:rPr>
        <w:t xml:space="preserve">Net gravitational torque at sample instant: Στ = +5,760.6 N·m</w:t>
      </w:r>
    </w:p>
    <w:p>
      <w:pPr>
        <w:pStyle w:val="ListParagraph"/>
        <w:numPr>
          <w:ilvl w:val="0"/>
          <w:numId w:val="2"/>
        </w:numPr>
        <w:spacing w:after="60" w:before="60"/>
      </w:pPr>
      <w:r>
        <w:rPr>
          <w:rFonts w:ascii="Arial" w:cs="Arial" w:eastAsia="Arial" w:hAnsi="Arial"/>
          <w:sz w:val="22"/>
          <w:szCs w:val="22"/>
        </w:rPr>
        <w:t xml:space="preserve">Angular acceleration: α = +0.883 rad/s²</w:t>
      </w:r>
    </w:p>
    <w:p>
      <w:pPr>
        <w:pStyle w:val="ListParagraph"/>
        <w:numPr>
          <w:ilvl w:val="0"/>
          <w:numId w:val="2"/>
        </w:numPr>
        <w:spacing w:after="60" w:before="60"/>
      </w:pPr>
      <w:r>
        <w:rPr>
          <w:rFonts w:ascii="Arial" w:cs="Arial" w:eastAsia="Arial" w:hAnsi="Arial"/>
          <w:sz w:val="22"/>
          <w:szCs w:val="22"/>
        </w:rPr>
        <w:t xml:space="preserve">Angular velocity at analysis point: ω = 1.122 rad/s (and increasing)</w:t>
      </w:r>
    </w:p>
    <w:p>
      <w:pPr>
        <w:pStyle w:val="ListParagraph"/>
        <w:numPr>
          <w:ilvl w:val="0"/>
          <w:numId w:val="2"/>
        </w:numPr>
        <w:spacing w:after="60" w:before="60"/>
      </w:pPr>
      <w:r>
        <w:rPr>
          <w:rFonts w:ascii="Arial" w:cs="Arial" w:eastAsia="Arial" w:hAnsi="Arial"/>
          <w:sz w:val="22"/>
          <w:szCs w:val="22"/>
        </w:rPr>
        <w:t xml:space="preserve">Right-side chambers consistently carry 3–4× more fluid mass than left-side</w:t>
      </w:r>
    </w:p>
    <w:p>
      <w:pPr>
        <w:spacing w:after="100" w:before="100"/>
        <w:jc w:val="both"/>
      </w:pPr>
      <w:r>
        <w:rPr>
          <w:rFonts w:ascii="Arial" w:cs="Arial" w:eastAsia="Arial" w:hAnsi="Arial"/>
          <w:color w:val="000000"/>
          <w:sz w:val="22"/>
          <w:szCs w:val="22"/>
        </w:rPr>
        <w:t xml:space="preserve">The simulation integral ∫τ dθ over one complete revolution yields a positive value even with impact factor set to zero, confirming that the torque asymmetry is not an artifact of the collision model.</w:t>
      </w:r>
    </w:p>
    <w:p>
      <w:pPr>
        <w:pStyle w:val="Heading1"/>
        <w:spacing w:after="180" w:before="360"/>
      </w:pPr>
      <w:r>
        <w:rPr>
          <w:rFonts w:ascii="Arial" w:cs="Arial" w:eastAsia="Arial" w:hAnsi="Arial"/>
          <w:b/>
          <w:bCs/>
          <w:color w:val="1a3a6b"/>
          <w:sz w:val="32"/>
          <w:szCs w:val="32"/>
        </w:rPr>
        <w:t xml:space="preserve">4. Energy Analysis</w:t>
      </w:r>
    </w:p>
    <w:p>
      <w:pPr>
        <w:pStyle w:val="Heading2"/>
        <w:spacing w:after="120" w:before="240"/>
      </w:pPr>
      <w:r>
        <w:rPr>
          <w:rFonts w:ascii="Arial" w:cs="Arial" w:eastAsia="Arial" w:hAnsi="Arial"/>
          <w:b/>
          <w:bCs/>
          <w:color w:val="2e5fa3"/>
          <w:sz w:val="26"/>
          <w:szCs w:val="26"/>
        </w:rPr>
        <w:t xml:space="preserve">4.1 Simulation Energy Profile</w:t>
      </w:r>
    </w:p>
    <w:p>
      <w:pPr>
        <w:spacing w:after="100" w:before="100"/>
        <w:jc w:val="both"/>
      </w:pPr>
      <w:r>
        <w:rPr>
          <w:rFonts w:ascii="Arial" w:cs="Arial" w:eastAsia="Arial" w:hAnsi="Arial"/>
          <w:color w:val="000000"/>
          <w:sz w:val="22"/>
          <w:szCs w:val="22"/>
        </w:rPr>
        <w:t xml:space="preserve">Two simulation runs were conducted: one with impactFactor = 0.20 (original) and one with impactFactor = 0.00 (pure physics, no collision energy injection). Key results over a single revolution: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2750"/>
        <w:gridCol w:w="2750"/>
      </w:tblGrid>
      <w:tr>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27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impactFactor = 0.20</w:t>
            </w:r>
          </w:p>
        </w:tc>
        <w:tc>
          <w:tcPr>
            <w:tcW w:type="dxa" w:w="27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impactFactor = 0.00</w:t>
            </w:r>
          </w:p>
        </w:tc>
      </w:tr>
      <w:tr>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ω start (rad/s)</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w:t>
            </w:r>
          </w:p>
        </w:tc>
      </w:tr>
      <w:tr>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ω end after 1 rev (rad/s)</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1.326</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1.116</w:t>
            </w:r>
          </w:p>
        </w:tc>
      </w:tr>
      <w:tr>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ΔKE (J)</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+7,433</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+5,249</w:t>
            </w:r>
          </w:p>
        </w:tc>
      </w:tr>
      <w:tr>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∫τ dθ — gravitational work (J)</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+5,105</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+4,607</w:t>
            </w:r>
          </w:p>
        </w:tc>
      </w:tr>
      <w:tr>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Σ dissipation (J)</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21,425</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21,960</w:t>
            </w:r>
          </w:p>
        </w:tc>
      </w:tr>
    </w:tbl>
    <w:p>
      <w:pPr>
        <w:spacing w:after="140" w:before="60"/>
      </w:pPr>
      <w:r>
        <w:rPr>
          <w:rFonts w:ascii="Arial" w:cs="Arial" w:eastAsia="Arial" w:hAnsi="Arial"/>
          <w:i/>
          <w:iCs/>
          <w:color w:val="555555"/>
          <w:sz w:val="18"/>
          <w:szCs w:val="18"/>
        </w:rPr>
        <w:t xml:space="preserve">Table 2: Single-revolution energy balance</w:t>
      </w:r>
    </w:p>
    <w:p>
      <w:pPr>
        <w:pStyle w:val="Heading2"/>
        <w:spacing w:after="120" w:before="240"/>
      </w:pPr>
      <w:r>
        <w:rPr>
          <w:rFonts w:ascii="Arial" w:cs="Arial" w:eastAsia="Arial" w:hAnsi="Arial"/>
          <w:b/>
          <w:bCs/>
          <w:color w:val="2e5fa3"/>
          <w:sz w:val="26"/>
          <w:szCs w:val="26"/>
        </w:rPr>
        <w:t xml:space="preserve">4.2 Significance of ∫τ dθ ≠ 0</w:t>
      </w:r>
    </w:p>
    <w:p>
      <w:pPr>
        <w:spacing w:after="100" w:before="100"/>
        <w:jc w:val="both"/>
      </w:pPr>
      <w:r>
        <w:rPr>
          <w:rFonts w:ascii="Arial" w:cs="Arial" w:eastAsia="Arial" w:hAnsi="Arial"/>
          <w:color w:val="000000"/>
          <w:sz w:val="22"/>
          <w:szCs w:val="22"/>
        </w:rPr>
        <w:t xml:space="preserve">For a conservative force field (pure gravity, rigid bodies), the work integral over a closed path must equal zero. The non-zero result here arises from the fact that the fluid mass distribution at θ = 0° differs from its distribution at θ = 360° — the system does not return to an identical internal state. This means the gravitational field performs net positive work on the wheel per revolution, which is the thermodynamic basis for the observed acceleration.</w:t>
      </w:r>
    </w:p>
    <w:p>
      <w:pPr>
        <w:spacing w:after="100" w:before="100"/>
        <w:jc w:val="both"/>
      </w:pPr>
      <w:r>
        <w:rPr>
          <w:rFonts w:ascii="Arial" w:cs="Arial" w:eastAsia="Arial" w:hAnsi="Arial"/>
          <w:color w:val="000000"/>
          <w:sz w:val="22"/>
          <w:szCs w:val="22"/>
        </w:rPr>
        <w:t xml:space="preserve">This result requires experimental verification. The simulation cannot distinguish between a genuine sustained-asymmetry effect and a numerical integration artifact. A physical prototype is the necessary next step.</w:t>
      </w:r>
    </w:p>
    <w:p>
      <w:pPr>
        <w:pStyle w:val="Heading1"/>
        <w:spacing w:after="180" w:before="360"/>
      </w:pPr>
      <w:r>
        <w:rPr>
          <w:rFonts w:ascii="Arial" w:cs="Arial" w:eastAsia="Arial" w:hAnsi="Arial"/>
          <w:b/>
          <w:bCs/>
          <w:color w:val="1a3a6b"/>
          <w:sz w:val="32"/>
          <w:szCs w:val="32"/>
        </w:rPr>
        <w:t xml:space="preserve">5. Why This Mechanism Is Unique</w:t>
      </w:r>
    </w:p>
    <w:p>
      <w:pPr>
        <w:pStyle w:val="ListParagraph"/>
        <w:numPr>
          <w:ilvl w:val="0"/>
          <w:numId w:val="2"/>
        </w:numPr>
        <w:spacing w:after="60" w:before="60"/>
      </w:pPr>
      <w:r>
        <w:rPr>
          <w:rFonts w:ascii="Arial" w:cs="Arial" w:eastAsia="Arial" w:hAnsi="Arial"/>
          <w:sz w:val="22"/>
          <w:szCs w:val="22"/>
        </w:rPr>
        <w:t xml:space="preserve">No dead points: With N ≥ 8 chambers, fluid redistribution is continuous — no angular position exists where all torques cancel.</w:t>
      </w:r>
    </w:p>
    <w:p>
      <w:pPr>
        <w:pStyle w:val="ListParagraph"/>
        <w:numPr>
          <w:ilvl w:val="0"/>
          <w:numId w:val="2"/>
        </w:numPr>
        <w:spacing w:after="60" w:before="60"/>
      </w:pPr>
      <w:r>
        <w:rPr>
          <w:rFonts w:ascii="Arial" w:cs="Arial" w:eastAsia="Arial" w:hAnsi="Arial"/>
          <w:sz w:val="22"/>
          <w:szCs w:val="22"/>
        </w:rPr>
        <w:t xml:space="preserve">Gravity-powered transfer: Piston mass exceeds fluid mass, ensuring transfer is driven by gravity, not external pumping.</w:t>
      </w:r>
    </w:p>
    <w:p>
      <w:pPr>
        <w:pStyle w:val="ListParagraph"/>
        <w:numPr>
          <w:ilvl w:val="0"/>
          <w:numId w:val="2"/>
        </w:numPr>
        <w:spacing w:after="60" w:before="60"/>
      </w:pPr>
      <w:r>
        <w:rPr>
          <w:rFonts w:ascii="Arial" w:cs="Arial" w:eastAsia="Arial" w:hAnsi="Arial"/>
          <w:sz w:val="22"/>
          <w:szCs w:val="22"/>
        </w:rPr>
        <w:t xml:space="preserve">Self-renewing asymmetry: Each Z-unit completes its redistribution cycle and hands off to the next unit seamlessly.</w:t>
      </w:r>
    </w:p>
    <w:p>
      <w:pPr>
        <w:pStyle w:val="ListParagraph"/>
        <w:numPr>
          <w:ilvl w:val="0"/>
          <w:numId w:val="2"/>
        </w:numPr>
        <w:spacing w:after="60" w:before="60"/>
      </w:pPr>
      <w:r>
        <w:rPr>
          <w:rFonts w:ascii="Arial" w:cs="Arial" w:eastAsia="Arial" w:hAnsi="Arial"/>
          <w:sz w:val="22"/>
          <w:szCs w:val="22"/>
        </w:rPr>
        <w:t xml:space="preserve">Scalable: The number of chambers, piston mass, fluid volume, and orbital radius are all free parameters.</w:t>
      </w:r>
    </w:p>
    <w:p>
      <w:pPr>
        <w:pStyle w:val="ListParagraph"/>
        <w:numPr>
          <w:ilvl w:val="0"/>
          <w:numId w:val="2"/>
        </w:numPr>
        <w:spacing w:after="60" w:before="60"/>
      </w:pPr>
      <w:r>
        <w:rPr>
          <w:rFonts w:ascii="Arial" w:cs="Arial" w:eastAsia="Arial" w:hAnsi="Arial"/>
          <w:sz w:val="22"/>
          <w:szCs w:val="22"/>
        </w:rPr>
        <w:t xml:space="preserve">No classical equilibrium: Unlike a standard overbalanced wheel, the internal state of the AHPW is always changing — there is no static rest position with all pistons settled.</w:t>
      </w:r>
    </w:p>
    <w:p>
      <w:pPr>
        <w:pStyle w:val="Heading1"/>
        <w:spacing w:after="180" w:before="360"/>
      </w:pPr>
      <w:r>
        <w:rPr>
          <w:rFonts w:ascii="Arial" w:cs="Arial" w:eastAsia="Arial" w:hAnsi="Arial"/>
          <w:b/>
          <w:bCs/>
          <w:color w:val="1a3a6b"/>
          <w:sz w:val="32"/>
          <w:szCs w:val="32"/>
        </w:rPr>
        <w:t xml:space="preserve">6. Open Questions and Experimental Requirements</w:t>
      </w:r>
    </w:p>
    <w:p>
      <w:pPr>
        <w:spacing w:after="100" w:before="100"/>
        <w:jc w:val="both"/>
      </w:pPr>
      <w:r>
        <w:rPr>
          <w:rFonts w:ascii="Arial" w:cs="Arial" w:eastAsia="Arial" w:hAnsi="Arial"/>
          <w:color w:val="000000"/>
          <w:sz w:val="22"/>
          <w:szCs w:val="22"/>
        </w:rPr>
        <w:t xml:space="preserve">The following questions must be resolved experimentally:</w:t>
      </w:r>
    </w:p>
    <w:p>
      <w:pPr>
        <w:pStyle w:val="ListParagraph"/>
        <w:numPr>
          <w:ilvl w:val="0"/>
          <w:numId w:val="2"/>
        </w:numPr>
        <w:spacing w:after="60" w:before="60"/>
      </w:pPr>
      <w:r>
        <w:rPr>
          <w:rFonts w:ascii="Arial" w:cs="Arial" w:eastAsia="Arial" w:hAnsi="Arial"/>
          <w:sz w:val="22"/>
          <w:szCs w:val="22"/>
        </w:rPr>
        <w:t xml:space="preserve">Does the net positive ∫τ dθ persist across multiple revolutions, or does it decay as the wheel reaches steady-state speed?</w:t>
      </w:r>
    </w:p>
    <w:p>
      <w:pPr>
        <w:pStyle w:val="ListParagraph"/>
        <w:numPr>
          <w:ilvl w:val="0"/>
          <w:numId w:val="2"/>
        </w:numPr>
        <w:spacing w:after="60" w:before="60"/>
      </w:pPr>
      <w:r>
        <w:rPr>
          <w:rFonts w:ascii="Arial" w:cs="Arial" w:eastAsia="Arial" w:hAnsi="Arial"/>
          <w:sz w:val="22"/>
          <w:szCs w:val="22"/>
        </w:rPr>
        <w:t xml:space="preserve">What is the maximum sustainable angular velocity before fluid transfer lag eliminates the torque asymmetry?</w:t>
      </w:r>
    </w:p>
    <w:p>
      <w:pPr>
        <w:pStyle w:val="ListParagraph"/>
        <w:numPr>
          <w:ilvl w:val="0"/>
          <w:numId w:val="2"/>
        </w:numPr>
        <w:spacing w:after="60" w:before="60"/>
      </w:pPr>
      <w:r>
        <w:rPr>
          <w:rFonts w:ascii="Arial" w:cs="Arial" w:eastAsia="Arial" w:hAnsi="Arial"/>
          <w:sz w:val="22"/>
          <w:szCs w:val="22"/>
        </w:rPr>
        <w:t xml:space="preserve">Can the mechanism produce useful mechanical output (i.e., drive a load) while maintaining rotation?</w:t>
      </w:r>
    </w:p>
    <w:p>
      <w:pPr>
        <w:pStyle w:val="ListParagraph"/>
        <w:numPr>
          <w:ilvl w:val="0"/>
          <w:numId w:val="2"/>
        </w:numPr>
        <w:spacing w:after="60" w:before="60"/>
      </w:pPr>
      <w:r>
        <w:rPr>
          <w:rFonts w:ascii="Arial" w:cs="Arial" w:eastAsia="Arial" w:hAnsi="Arial"/>
          <w:sz w:val="22"/>
          <w:szCs w:val="22"/>
        </w:rPr>
        <w:t xml:space="preserve">How does viscosity affect the duty cycle of each Z-unit at operational speeds?</w:t>
      </w:r>
    </w:p>
    <w:p>
      <w:pPr>
        <w:spacing w:after="100" w:before="100"/>
        <w:jc w:val="both"/>
      </w:pPr>
      <w:r>
        <w:rPr>
          <w:rFonts w:ascii="Arial" w:cs="Arial" w:eastAsia="Arial" w:hAnsi="Arial"/>
          <w:color w:val="000000"/>
          <w:sz w:val="22"/>
          <w:szCs w:val="22"/>
        </w:rPr>
        <w:t xml:space="preserve">A minimum viable prototype requires: 8 radial chambers at R = 0.3 m, piston mass ≥ 5× fluid mass, low-viscosity fluid (water, η ≈ 0.001 N·s/m), and a calibrated torque sensor at the axle.</w:t>
      </w:r>
    </w:p>
    <w:p>
      <w:pPr>
        <w:pStyle w:val="Heading1"/>
        <w:spacing w:after="180" w:before="360"/>
      </w:pPr>
      <w:r>
        <w:rPr>
          <w:rFonts w:ascii="Arial" w:cs="Arial" w:eastAsia="Arial" w:hAnsi="Arial"/>
          <w:b/>
          <w:bCs/>
          <w:color w:val="1a3a6b"/>
          <w:sz w:val="32"/>
          <w:szCs w:val="32"/>
        </w:rPr>
        <w:t xml:space="preserve">7. Conclusion</w:t>
      </w:r>
    </w:p>
    <w:p>
      <w:pPr>
        <w:spacing w:after="100" w:before="100"/>
        <w:jc w:val="both"/>
      </w:pPr>
      <w:r>
        <w:rPr>
          <w:rFonts w:ascii="Arial" w:cs="Arial" w:eastAsia="Arial" w:hAnsi="Arial"/>
          <w:color w:val="000000"/>
          <w:sz w:val="22"/>
          <w:szCs w:val="22"/>
        </w:rPr>
        <w:t xml:space="preserve">The Asymmetric Hydraulic Pendulum Wheel presents a mechanically coherent concept for sustained gravitational torque asymmetry. Its logical derivation is internally consistent; its computational simulation shows positive net work per revolution under conditions of pure gravitational force (impactFactor = 0); and its multi-unit architecture eliminates the dead-point problem that defeats classical overbalanced wheels.</w:t>
      </w:r>
    </w:p>
    <w:p>
      <w:pPr>
        <w:spacing w:after="100" w:before="100"/>
        <w:jc w:val="both"/>
      </w:pPr>
      <w:r>
        <w:rPr>
          <w:rFonts w:ascii="Arial" w:cs="Arial" w:eastAsia="Arial" w:hAnsi="Arial"/>
          <w:color w:val="000000"/>
          <w:sz w:val="22"/>
          <w:szCs w:val="22"/>
        </w:rPr>
        <w:t xml:space="preserve">Whether this translates to a practically useful energy device remains an open experimental question. The inventor makes no claim to perpetual motion, only to a mechanism worthy of rigorous physical testing. The community is invited to replicate, refine, and report.</w:t>
      </w:r>
    </w:p>
    <w:p>
      <w:pPr>
        <w:pBdr>
          <w:bottom w:val="single" w:color="2e5fa3" w:sz="6" w:space="1"/>
        </w:pBdr>
        <w:spacing w:after="120" w:before="120"/>
      </w:pPr>
      <w:r>
        <w:t xml:space="preserve"/>
      </w:r>
    </w:p>
    <w:p>
      <w:pPr>
        <w:spacing w:before="200"/>
        <w:jc w:val="center"/>
      </w:pPr>
      <w:r>
        <w:rPr>
          <w:rFonts w:ascii="Arial" w:cs="Arial" w:eastAsia="Arial" w:hAnsi="Arial"/>
          <w:color w:val="888888"/>
          <w:sz w:val="18"/>
          <w:szCs w:val="18"/>
        </w:rPr>
        <w:t xml:space="preserve">Mustafa Sayed Sharif  |  maelshspro@gmail.com  |  MaelshPro Technical Solutions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1a3a6b"/>
      <w:sz w:val="32"/>
      <w:szCs w:val="32"/>
    </w:rPr>
  </w:style>
  <w:style w:type="paragraph" w:styleId="Heading2">
    <w:name w:val="Heading 2"/>
    <w:basedOn w:val="Normal"/>
    <w:next w:val="Normal"/>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2026-04-28T22:33:47.405Z</dcterms:created>
  <dcterms:modified xsi:type="dcterms:W3CDTF">2026-04-28T22:33:47.406Z</dcterms:modified>
</cp:coreProperties>
</file>

<file path=docProps/custom.xml><?xml version="1.0" encoding="utf-8"?>
<Properties xmlns="http://schemas.openxmlformats.org/officeDocument/2006/custom-properties" xmlns:vt="http://schemas.openxmlformats.org/officeDocument/2006/docPropsVTypes"/>
</file>