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Modélisation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universitaire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septembre 2021 -&gt; février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Etalé sur 6 mois, ce projet de rétromodélisation m’a permis de renforcer de manière significative mes compétences de CAO à partir de la rétromodélisation d’un système existant.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Binôme avec Clément Laguerre | 6 mois | 2021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Catia v5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Creo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3D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Keyshot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Kdenlive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Choix d’un sujet respectant le cahier des charges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Prise de mesure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Rédaction du planning prévisionnel de modélisation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Conception des pièces volumiques et surfaciques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Conception des ressorts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Incorporation des éléments de visserie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Rendus keyshot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Vidéo de présentation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