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pPr>
      <w:r w:rsidDel="00000000" w:rsidR="00000000" w:rsidRPr="00000000">
        <w:rPr>
          <w:rFonts w:ascii="Arial" w:cs="Arial" w:eastAsia="Arial" w:hAnsi="Arial"/>
          <w:b w:val="1"/>
          <w:bCs w:val="1"/>
          <w:sz w:val="48"/>
          <w:szCs w:val="48"/>
          <w:rtl w:val="0"/>
        </w:rPr>
        <w:t xml:space="preserve">INFORME DE RESULTADOS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sz w:val="32"/>
          <w:szCs w:val="32"/>
          <w:rtl w:val="0"/>
        </w:rPr>
        <w:t xml:space="preserve">Prueba de Carga – Servicio de Login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color w:val="666666"/>
          <w:sz w:val="22"/>
          <w:szCs w:val="22"/>
          <w:rtl w:val="0"/>
        </w:rPr>
        <w:t xml:space="preserve">Herramienta: k6  |  Fecha de análisis: Abril 2026</w:t>
      </w:r>
      <w:r w:rsidDel="00000000" w:rsidR="00000000" w:rsidRPr="00000000">
        <w:rPr>
          <w:rtl w:val="0"/>
        </w:rPr>
      </w:r>
    </w:p>
    <w:p w:rsidR="00000000" w:rsidDel="00000000" w:rsidP="00000000" w:rsidRDefault="00000000" w:rsidRPr="00000000" w14:paraId="00000004">
      <w:pPr>
        <w:pBdr>
          <w:bottom w:color="2e5fa3" w:space="1" w:sz="6" w:val="single"/>
        </w:pBdr>
        <w:spacing w:after="200" w:lineRule="auto"/>
        <w:rPr/>
      </w:pP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rFonts w:ascii="Arial" w:cs="Arial" w:eastAsia="Arial" w:hAnsi="Arial"/>
          <w:b w:val="1"/>
          <w:bCs w:val="1"/>
          <w:color w:val="000000"/>
          <w:sz w:val="32"/>
          <w:szCs w:val="32"/>
          <w:rtl w:val="0"/>
        </w:rPr>
        <w:t xml:space="preserve">1. Resumen Ejecutivo</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Arial" w:cs="Arial" w:eastAsia="Arial" w:hAnsi="Arial"/>
          <w:sz w:val="22"/>
          <w:szCs w:val="22"/>
          <w:rtl w:val="0"/>
        </w:rPr>
        <w:t xml:space="preserve">La presente prueba de carga fue ejecutada sobre el servicio de autenticación (login) con el objetivo de evaluar su comportamiento bajo condiciones de alta concurrencia. A continuación se detalla el análisis de los resultados obtenidos desde el archivo textSummary.txt generado por k6, así como las observaciones derivadas del diagrama de monitoreo.</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Fonts w:ascii="Arial" w:cs="Arial" w:eastAsia="Arial" w:hAnsi="Arial"/>
          <w:b w:val="1"/>
          <w:bCs w:val="1"/>
          <w:sz w:val="24"/>
          <w:szCs w:val="24"/>
          <w:rtl w:val="0"/>
        </w:rPr>
        <w:t xml:space="preserve">ESTADO GENERAL: </w:t>
      </w:r>
      <w:r w:rsidDel="00000000" w:rsidR="00000000" w:rsidRPr="00000000">
        <w:rPr>
          <w:rFonts w:ascii="Arial" w:cs="Arial" w:eastAsia="Arial" w:hAnsi="Arial"/>
          <w:b w:val="1"/>
          <w:bCs w:val="1"/>
          <w:sz w:val="24"/>
          <w:szCs w:val="24"/>
          <w:rtl w:val="0"/>
        </w:rPr>
        <w:t xml:space="preserve">PRUEBA NO CUMPLE TODOS LOS CRITERIOS DE ACEPTACIÓN</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pStyle w:val="Heading1"/>
        <w:rPr>
          <w:color w:val="000000"/>
        </w:rPr>
      </w:pPr>
      <w:r w:rsidDel="00000000" w:rsidR="00000000" w:rsidRPr="00000000">
        <w:rPr>
          <w:rFonts w:ascii="Arial" w:cs="Arial" w:eastAsia="Arial" w:hAnsi="Arial"/>
          <w:b w:val="1"/>
          <w:bCs w:val="1"/>
          <w:color w:val="000000"/>
          <w:sz w:val="32"/>
          <w:szCs w:val="32"/>
          <w:rtl w:val="0"/>
        </w:rPr>
        <w:t xml:space="preserve">2. Configuración de la Prueba</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El escenario fue configurado con múltiples etapas (stages) de usuarios virtuales (VUs). De acuerdo al diagrama de monitoreo, la prueba escaló hasta alcanzar un pico de 140 VUs concurrentes y tuvo una duración total aproximada de 1 hora.</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2"/>
                <w:szCs w:val="22"/>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22"/>
                <w:szCs w:val="22"/>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20"/>
                <w:szCs w:val="20"/>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k6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URL bajo 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https://fakestoreapi.com/auth/login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z w:val="20"/>
                <w:szCs w:val="20"/>
                <w:rtl w:val="0"/>
              </w:rPr>
              <w:t xml:space="preserve">Método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POST (application/json)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VUs máximos alcanzados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140 usuarios virtuales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0"/>
                <w:szCs w:val="20"/>
                <w:rtl w:val="0"/>
              </w:rPr>
              <w:t xml:space="preserve">VUs mínimos observados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2 usuarios virtuales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Total de iteraciones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276,650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z w:val="20"/>
                <w:szCs w:val="20"/>
                <w:rtl w:val="0"/>
              </w:rPr>
              <w:t xml:space="preserve">Total de peticiones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269,891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Duración estimada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~1 hora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TPS pico observado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eeaf1"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~82.6 req/s (peak en monitoreo)</w:t>
            </w:r>
            <w:r w:rsidDel="00000000" w:rsidR="00000000" w:rsidRPr="00000000">
              <w:rPr>
                <w:rtl w:val="0"/>
              </w:rPr>
            </w:r>
          </w:p>
        </w:tc>
      </w:tr>
    </w:tbl>
    <w:p w:rsidR="00000000" w:rsidDel="00000000" w:rsidP="00000000" w:rsidRDefault="00000000" w:rsidRPr="00000000" w14:paraId="00000022">
      <w:pPr>
        <w:spacing w:after="100" w:lineRule="auto"/>
        <w:rPr/>
      </w:pPr>
      <w:r w:rsidDel="00000000" w:rsidR="00000000" w:rsidRPr="00000000">
        <w:rPr>
          <w:rtl w:val="0"/>
        </w:rPr>
      </w:r>
    </w:p>
    <w:p w:rsidR="00000000" w:rsidDel="00000000" w:rsidP="00000000" w:rsidRDefault="00000000" w:rsidRPr="00000000" w14:paraId="00000023">
      <w:pPr>
        <w:pStyle w:val="Heading1"/>
        <w:rPr>
          <w:color w:val="000000"/>
        </w:rPr>
      </w:pPr>
      <w:r w:rsidDel="00000000" w:rsidR="00000000" w:rsidRPr="00000000">
        <w:rPr>
          <w:rFonts w:ascii="Arial" w:cs="Arial" w:eastAsia="Arial" w:hAnsi="Arial"/>
          <w:b w:val="1"/>
          <w:bCs w:val="1"/>
          <w:color w:val="000000"/>
          <w:sz w:val="32"/>
          <w:szCs w:val="32"/>
          <w:rtl w:val="0"/>
        </w:rPr>
        <w:t xml:space="preserve">3. Análisis Detallado de Resultados</w:t>
      </w:r>
      <w:r w:rsidDel="00000000" w:rsidR="00000000" w:rsidRPr="00000000">
        <w:rPr>
          <w:rtl w:val="0"/>
        </w:rPr>
      </w:r>
    </w:p>
    <w:p w:rsidR="00000000" w:rsidDel="00000000" w:rsidP="00000000" w:rsidRDefault="00000000" w:rsidRPr="00000000" w14:paraId="00000024">
      <w:pPr>
        <w:pStyle w:val="Heading2"/>
        <w:rPr>
          <w:color w:val="000000"/>
        </w:rPr>
      </w:pPr>
      <w:r w:rsidDel="00000000" w:rsidR="00000000" w:rsidRPr="00000000">
        <w:rPr>
          <w:rFonts w:ascii="Arial" w:cs="Arial" w:eastAsia="Arial" w:hAnsi="Arial"/>
          <w:b w:val="1"/>
          <w:bCs w:val="1"/>
          <w:color w:val="000000"/>
          <w:sz w:val="26"/>
          <w:szCs w:val="26"/>
          <w:rtl w:val="0"/>
        </w:rPr>
        <w:t xml:space="preserve">3.1 Validación de Criterios de Aceptación</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sz w:val="22"/>
          <w:szCs w:val="22"/>
          <w:rtl w:val="0"/>
        </w:rPr>
        <w:t xml:space="preserve">La prueba tenía definidos dos criterios de aceptación obligatorios. A continuación se evalúa el cumplimiento de cada uno:</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2000"/>
        <w:gridCol w:w="1860"/>
        <w:tblGridChange w:id="0">
          <w:tblGrid>
            <w:gridCol w:w="3500"/>
            <w:gridCol w:w="2000"/>
            <w:gridCol w:w="200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7">
            <w:pPr>
              <w:jc w:val="left"/>
              <w:rPr>
                <w:color w:val="ffffff"/>
              </w:rPr>
            </w:pPr>
            <w:r w:rsidDel="00000000" w:rsidR="00000000" w:rsidRPr="00000000">
              <w:rPr>
                <w:rFonts w:ascii="Arial" w:cs="Arial" w:eastAsia="Arial" w:hAnsi="Arial"/>
                <w:b w:val="1"/>
                <w:bCs w:val="1"/>
                <w:color w:val="ffffff"/>
                <w:sz w:val="22"/>
                <w:szCs w:val="22"/>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8">
            <w:pPr>
              <w:jc w:val="left"/>
              <w:rPr>
                <w:color w:val="ffffff"/>
              </w:rPr>
            </w:pPr>
            <w:r w:rsidDel="00000000" w:rsidR="00000000" w:rsidRPr="00000000">
              <w:rPr>
                <w:rFonts w:ascii="Arial" w:cs="Arial" w:eastAsia="Arial" w:hAnsi="Arial"/>
                <w:b w:val="1"/>
                <w:bCs w:val="1"/>
                <w:color w:val="ffffff"/>
                <w:sz w:val="22"/>
                <w:szCs w:val="22"/>
                <w:rtl w:val="0"/>
              </w:rPr>
              <w:t xml:space="preserve">Valor Obtenido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9">
            <w:pPr>
              <w:jc w:val="left"/>
              <w:rPr>
                <w:color w:val="ffffff"/>
              </w:rPr>
            </w:pPr>
            <w:r w:rsidDel="00000000" w:rsidR="00000000" w:rsidRPr="00000000">
              <w:rPr>
                <w:rFonts w:ascii="Arial" w:cs="Arial" w:eastAsia="Arial" w:hAnsi="Arial"/>
                <w:b w:val="1"/>
                <w:bCs w:val="1"/>
                <w:color w:val="ffffff"/>
                <w:sz w:val="22"/>
                <w:szCs w:val="22"/>
                <w:rtl w:val="0"/>
              </w:rPr>
              <w:t xml:space="preserve">Umbral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jc w:val="left"/>
              <w:rPr>
                <w:color w:val="ffffff"/>
              </w:rPr>
            </w:pPr>
            <w:r w:rsidDel="00000000" w:rsidR="00000000" w:rsidRPr="00000000">
              <w:rPr>
                <w:rFonts w:ascii="Arial" w:cs="Arial" w:eastAsia="Arial" w:hAnsi="Arial"/>
                <w:b w:val="1"/>
                <w:bCs w:val="1"/>
                <w:color w:val="ffffff"/>
                <w:sz w:val="22"/>
                <w:szCs w:val="22"/>
                <w:rtl w:val="0"/>
              </w:rPr>
              <w:t xml:space="preserve">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20"/>
                <w:szCs w:val="20"/>
                <w:rtl w:val="0"/>
              </w:rPr>
              <w:t xml:space="preserve">Tasa de error (failed_requests)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20"/>
                <w:szCs w:val="20"/>
                <w:rtl w:val="0"/>
              </w:rPr>
              <w:t xml:space="preserve">2.44%  (6,759 / 276,650)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20"/>
                <w:szCs w:val="20"/>
                <w:rtl w:val="0"/>
              </w:rPr>
              <w:t xml:space="preserve">&lt;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20"/>
                <w:szCs w:val="20"/>
                <w:rtl w:val="0"/>
              </w:rPr>
              <w:t xml:space="preserve">Tiempo de respuesta p(90) – http_req_duration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20"/>
                <w:szCs w:val="20"/>
                <w:rtl w:val="0"/>
              </w:rPr>
              <w:t xml:space="preserve">1.28s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1">
            <w:pPr>
              <w:jc w:val="left"/>
              <w:rPr/>
            </w:pPr>
            <w:sdt>
              <w:sdtPr>
                <w:id w:val="1581488063"/>
                <w:tag w:val="goog_rdk_0"/>
              </w:sdtPr>
              <w:sdtContent>
                <w:r w:rsidDel="00000000" w:rsidR="00000000" w:rsidRPr="00000000">
                  <w:rPr>
                    <w:rFonts w:ascii="Arial Unicode MS" w:cs="Arial Unicode MS" w:eastAsia="Arial Unicode MS" w:hAnsi="Arial Unicode MS"/>
                    <w:b w:val="0"/>
                    <w:bCs w:val="0"/>
                    <w:sz w:val="20"/>
                    <w:szCs w:val="20"/>
                    <w:rtl w:val="0"/>
                  </w:rPr>
                  <w:t xml:space="preserve">≤ 1.5s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20"/>
                <w:szCs w:val="20"/>
                <w:rtl w:val="0"/>
              </w:rPr>
              <w:t xml:space="preserve">Tiempo de respuesta p(95) – http_req_duration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20"/>
                <w:szCs w:val="20"/>
                <w:rtl w:val="0"/>
              </w:rPr>
              <w:t xml:space="preserve">1.57s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5">
            <w:pPr>
              <w:jc w:val="left"/>
              <w:rPr/>
            </w:pPr>
            <w:sdt>
              <w:sdtPr>
                <w:id w:val="324046907"/>
                <w:tag w:val="goog_rdk_1"/>
              </w:sdtPr>
              <w:sdtContent>
                <w:r w:rsidDel="00000000" w:rsidR="00000000" w:rsidRPr="00000000">
                  <w:rPr>
                    <w:rFonts w:ascii="Arial Unicode MS" w:cs="Arial Unicode MS" w:eastAsia="Arial Unicode MS" w:hAnsi="Arial Unicode MS"/>
                    <w:b w:val="0"/>
                    <w:bCs w:val="0"/>
                    <w:sz w:val="20"/>
                    <w:szCs w:val="20"/>
                    <w:rtl w:val="0"/>
                  </w:rPr>
                  <w:t xml:space="preserve">≤ 1.5s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20"/>
                <w:szCs w:val="20"/>
                <w:rtl w:val="0"/>
              </w:rPr>
              <w:t xml:space="preserve">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20"/>
                <w:szCs w:val="20"/>
                <w:rtl w:val="0"/>
              </w:rPr>
              <w:t xml:space="preserve">Tiempo de respuesta promedio – http_req_duration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20"/>
                <w:szCs w:val="20"/>
                <w:rtl w:val="0"/>
              </w:rPr>
              <w:t xml:space="preserve">861.68ms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9">
            <w:pPr>
              <w:jc w:val="left"/>
              <w:rPr/>
            </w:pPr>
            <w:sdt>
              <w:sdtPr>
                <w:id w:val="-16027594"/>
                <w:tag w:val="goog_rdk_2"/>
              </w:sdtPr>
              <w:sdtContent>
                <w:r w:rsidDel="00000000" w:rsidR="00000000" w:rsidRPr="00000000">
                  <w:rPr>
                    <w:rFonts w:ascii="Arial Unicode MS" w:cs="Arial Unicode MS" w:eastAsia="Arial Unicode MS" w:hAnsi="Arial Unicode MS"/>
                    <w:b w:val="0"/>
                    <w:bCs w:val="0"/>
                    <w:sz w:val="20"/>
                    <w:szCs w:val="20"/>
                    <w:rtl w:val="0"/>
                  </w:rPr>
                  <w:t xml:space="preserve">≤ 1.5s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20"/>
                <w:szCs w:val="20"/>
                <w:rtl w:val="0"/>
              </w:rPr>
              <w:t xml:space="preserve">Tiempo de respuesta máximo – http_req_duration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20"/>
                <w:szCs w:val="20"/>
                <w:rtl w:val="0"/>
              </w:rPr>
              <w:t xml:space="preserve">29.93s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D">
            <w:pPr>
              <w:jc w:val="left"/>
              <w:rPr/>
            </w:pPr>
            <w:sdt>
              <w:sdtPr>
                <w:id w:val="1792305411"/>
                <w:tag w:val="goog_rdk_3"/>
              </w:sdtPr>
              <w:sdtContent>
                <w:r w:rsidDel="00000000" w:rsidR="00000000" w:rsidRPr="00000000">
                  <w:rPr>
                    <w:rFonts w:ascii="Arial Unicode MS" w:cs="Arial Unicode MS" w:eastAsia="Arial Unicode MS" w:hAnsi="Arial Unicode MS"/>
                    <w:b w:val="0"/>
                    <w:bCs w:val="0"/>
                    <w:sz w:val="20"/>
                    <w:szCs w:val="20"/>
                    <w:rtl w:val="0"/>
                  </w:rPr>
                  <w:t xml:space="preserve">≤ 1.5s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4d6" w:val="clear"/>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20"/>
                <w:szCs w:val="20"/>
                <w:rtl w:val="0"/>
              </w:rPr>
              <w:t xml:space="preserve">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20"/>
                <w:szCs w:val="20"/>
                <w:rtl w:val="0"/>
              </w:rPr>
              <w:t xml:space="preserve">Check: expected_response:true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20"/>
                <w:szCs w:val="20"/>
                <w:rtl w:val="0"/>
              </w:rPr>
              <w:t xml:space="preserve">97.56% exitoso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20"/>
                <w:szCs w:val="20"/>
                <w:rtl w:val="0"/>
              </w:rPr>
              <w:t xml:space="preserve">&gt; 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20"/>
                <w:szCs w:val="20"/>
                <w:rtl w:val="0"/>
              </w:rPr>
              <w:t xml:space="preserve">TPS alcanzado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20"/>
                <w:szCs w:val="20"/>
                <w:rtl w:val="0"/>
              </w:rPr>
              <w:t xml:space="preserve">73.17 req/s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5">
            <w:pPr>
              <w:jc w:val="left"/>
              <w:rPr/>
            </w:pPr>
            <w:sdt>
              <w:sdtPr>
                <w:id w:val="1341284265"/>
                <w:tag w:val="goog_rdk_4"/>
              </w:sdtPr>
              <w:sdtContent>
                <w:r w:rsidDel="00000000" w:rsidR="00000000" w:rsidRPr="00000000">
                  <w:rPr>
                    <w:rFonts w:ascii="Arial Unicode MS" w:cs="Arial Unicode MS" w:eastAsia="Arial Unicode MS" w:hAnsi="Arial Unicode MS"/>
                    <w:b w:val="0"/>
                    <w:bCs w:val="0"/>
                    <w:sz w:val="20"/>
                    <w:szCs w:val="20"/>
                    <w:rtl w:val="0"/>
                  </w:rPr>
                  <w:t xml:space="preserve">≥ 20 TPS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efda" w:val="clear"/>
            <w:tcMar>
              <w:top w:w="80.0" w:type="dxa"/>
              <w:left w:w="120.0" w:type="dxa"/>
              <w:bottom w:w="80.0" w:type="dxa"/>
              <w:right w:w="12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20"/>
                <w:szCs w:val="20"/>
                <w:rtl w:val="0"/>
              </w:rPr>
              <w:t xml:space="preserve">PASS</w:t>
            </w:r>
            <w:r w:rsidDel="00000000" w:rsidR="00000000" w:rsidRPr="00000000">
              <w:rPr>
                <w:rtl w:val="0"/>
              </w:rPr>
            </w:r>
          </w:p>
        </w:tc>
      </w:tr>
    </w:tbl>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sz w:val="22"/>
          <w:szCs w:val="22"/>
          <w:rtl w:val="0"/>
        </w:rPr>
        <w:t xml:space="preserve">NOTA IMPORTANTE: Aunque el criterio de tiempo de respuesta se define como máximo 1.5 segundos, el percentil 95 (p95) superó este umbral con 1.57 segundos. Esto significa que el 5% de las peticiones más lentas tardaron más de lo permitido. Además, el tiempo máximo registrado fue de 29.93 segundos, lo que indica presencia de valores atípicos (outliers) bajo alta carga.</w:t>
      </w:r>
      <w:r w:rsidDel="00000000" w:rsidR="00000000" w:rsidRPr="00000000">
        <w:rPr>
          <w:rtl w:val="0"/>
        </w:rPr>
      </w:r>
    </w:p>
    <w:p w:rsidR="00000000" w:rsidDel="00000000" w:rsidP="00000000" w:rsidRDefault="00000000" w:rsidRPr="00000000" w14:paraId="00000049">
      <w:pPr>
        <w:spacing w:after="100" w:lineRule="auto"/>
        <w:rPr/>
      </w:pPr>
      <w:r w:rsidDel="00000000" w:rsidR="00000000" w:rsidRPr="00000000">
        <w:rPr>
          <w:rtl w:val="0"/>
        </w:rPr>
      </w:r>
    </w:p>
    <w:p w:rsidR="00000000" w:rsidDel="00000000" w:rsidP="00000000" w:rsidRDefault="00000000" w:rsidRPr="00000000" w14:paraId="0000004A">
      <w:pPr>
        <w:pStyle w:val="Heading2"/>
        <w:rPr>
          <w:color w:val="000000"/>
        </w:rPr>
      </w:pPr>
      <w:r w:rsidDel="00000000" w:rsidR="00000000" w:rsidRPr="00000000">
        <w:rPr>
          <w:rFonts w:ascii="Arial" w:cs="Arial" w:eastAsia="Arial" w:hAnsi="Arial"/>
          <w:b w:val="1"/>
          <w:bCs w:val="1"/>
          <w:color w:val="000000"/>
          <w:sz w:val="26"/>
          <w:szCs w:val="26"/>
          <w:rtl w:val="0"/>
        </w:rPr>
        <w:t xml:space="preserve">3.2 Métricas de Tiempo de Respuesta HTTP</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sz w:val="22"/>
          <w:szCs w:val="22"/>
          <w:rtl w:val="0"/>
        </w:rPr>
        <w:t xml:space="preserve">El comportamiento de los tiempos de respuesta es uno de los indicadores más críticos en una prueba de performance. A continuación se desglosan los valores:</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Promedio (avg):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861.68 ms — Dentro del umbral aceptable. Indica un comportamiento general correcto.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Mediana (med):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613.42 ms — Menos de la mitad de las peticiones tardó más de 613ms, lo que es positivo.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Mínimo (min):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191.86 ms — El mejor tiempo de respuesta registrado, sugiere que el servicio responde bien sin carga.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Máximo (max):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29.93 s — Valor preocupante. Sugiere que en momentos de alta saturación el servicio tuvo respuestas muy lentas (posiblemente timeouts o colas de espera).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Percentil 90 p(90):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1.28s — El 90% de las peticiones respondieron en menos de 1.28s. Cumple el criterio de 1.5s.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Percentil 95 p(95):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1.57s — El 5% de las peticiones tardó más de 1.57s. Supera el umbral de 1.5s. Criterio NO cumplido.</w:t>
      </w:r>
    </w:p>
    <w:p w:rsidR="00000000" w:rsidDel="00000000" w:rsidP="00000000" w:rsidRDefault="00000000" w:rsidRPr="00000000" w14:paraId="00000053">
      <w:pPr>
        <w:spacing w:after="100" w:lineRule="auto"/>
        <w:rPr/>
      </w:pP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Arial" w:cs="Arial" w:eastAsia="Arial" w:hAnsi="Arial"/>
          <w:sz w:val="22"/>
          <w:szCs w:val="22"/>
          <w:rtl w:val="0"/>
        </w:rPr>
        <w:t xml:space="preserve">En terms de percentiles: el p90 y p95 son los indicadores más relevantes para medir la experiencia del usuario bajo carga. El hecho de que el p95 supere el umbral indica que bajo alta concurrencia, una fracción notable de usuarios experimenta tiempos de espera inaceptables.</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rtl w:val="0"/>
        </w:rPr>
      </w:r>
    </w:p>
    <w:p w:rsidR="00000000" w:rsidDel="00000000" w:rsidP="00000000" w:rsidRDefault="00000000" w:rsidRPr="00000000" w14:paraId="00000056">
      <w:pPr>
        <w:pStyle w:val="Heading2"/>
        <w:rPr>
          <w:color w:val="000000"/>
        </w:rPr>
      </w:pPr>
      <w:r w:rsidDel="00000000" w:rsidR="00000000" w:rsidRPr="00000000">
        <w:rPr>
          <w:rFonts w:ascii="Arial" w:cs="Arial" w:eastAsia="Arial" w:hAnsi="Arial"/>
          <w:b w:val="1"/>
          <w:bCs w:val="1"/>
          <w:color w:val="000000"/>
          <w:sz w:val="26"/>
          <w:szCs w:val="26"/>
          <w:rtl w:val="0"/>
        </w:rPr>
        <w:t xml:space="preserve">3.3 Análisis de Errores</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Arial" w:cs="Arial" w:eastAsia="Arial" w:hAnsi="Arial"/>
          <w:sz w:val="22"/>
          <w:szCs w:val="22"/>
          <w:rtl w:val="0"/>
        </w:rPr>
        <w:t xml:space="preserve">La prueba registró 6,759 peticiones fallidas sobre un total de 269,891 peticiones HTTP, lo que representa una tasa de error del 2.44%. Este valor se encuentra por debajo del umbral aceptable del 3%, por lo que el criterio de error es aprobado.</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sz w:val="22"/>
          <w:szCs w:val="22"/>
          <w:rtl w:val="0"/>
        </w:rPr>
        <w:t xml:space="preserve">Sin embargo, es importante analizar la distribución de los errores por tipo de respuesta HTTP (códigos de estado):</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360"/>
        <w:gridCol w:w="3000"/>
        <w:tblGridChange w:id="0">
          <w:tblGrid>
            <w:gridCol w:w="4000"/>
            <w:gridCol w:w="2360"/>
            <w:gridCol w:w="3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B">
            <w:pPr>
              <w:rPr>
                <w:color w:val="ffffff"/>
              </w:rPr>
            </w:pPr>
            <w:r w:rsidDel="00000000" w:rsidR="00000000" w:rsidRPr="00000000">
              <w:rPr>
                <w:rFonts w:ascii="Arial" w:cs="Arial" w:eastAsia="Arial" w:hAnsi="Arial"/>
                <w:b w:val="1"/>
                <w:bCs w:val="1"/>
                <w:color w:val="ffffff"/>
                <w:sz w:val="22"/>
                <w:szCs w:val="22"/>
                <w:rtl w:val="0"/>
              </w:rPr>
              <w:t xml:space="preserve">Métrica 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C">
            <w:pPr>
              <w:rPr>
                <w:color w:val="ffffff"/>
              </w:rPr>
            </w:pPr>
            <w:r w:rsidDel="00000000" w:rsidR="00000000" w:rsidRPr="00000000">
              <w:rPr>
                <w:rFonts w:ascii="Arial" w:cs="Arial" w:eastAsia="Arial" w:hAnsi="Arial"/>
                <w:b w:val="1"/>
                <w:bCs w:val="1"/>
                <w:color w:val="ffffff"/>
                <w:sz w:val="22"/>
                <w:szCs w:val="22"/>
                <w:rtl w:val="0"/>
              </w:rPr>
              <w:t xml:space="preserve">Tasa (req/s)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rPr>
                <w:color w:val="ffffff"/>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sz w:val="18"/>
                <w:szCs w:val="18"/>
                <w:rtl w:val="0"/>
              </w:rPr>
              <w:t xml:space="preserve">y_failed_request_stage_0_HTTP5xx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0.000265/s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Errores 5xx en Stage 0 (inicio)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Courier New" w:cs="Courier New" w:eastAsia="Courier New" w:hAnsi="Courier New"/>
                <w:sz w:val="18"/>
                <w:szCs w:val="18"/>
                <w:rtl w:val="0"/>
              </w:rPr>
              <w:t xml:space="preserve">y_failed_request_stage_1_HTTP4xx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0.203409/s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Errores 4xx en Stage 1 (credenciales incorrectas)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sz w:val="18"/>
                <w:szCs w:val="18"/>
                <w:rtl w:val="0"/>
              </w:rPr>
              <w:t xml:space="preserve">y_failed_request_stage_1_HTTP5xx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1.583625/s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Errores 5xx en Stage 1 (mayor carga)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sz w:val="18"/>
                <w:szCs w:val="18"/>
                <w:rtl w:val="0"/>
              </w:rPr>
              <w:t xml:space="preserve">y_failed_request_stage_2_HTTP5xx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0.000529/s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Errores 5xx en Stage 2 (descenso)</w:t>
            </w:r>
            <w:r w:rsidDel="00000000" w:rsidR="00000000" w:rsidRPr="00000000">
              <w:rPr>
                <w:rtl w:val="0"/>
              </w:rPr>
            </w:r>
          </w:p>
        </w:tc>
      </w:tr>
    </w:tbl>
    <w:p w:rsidR="00000000" w:rsidDel="00000000" w:rsidP="00000000" w:rsidRDefault="00000000" w:rsidRPr="00000000" w14:paraId="0000006A">
      <w:pPr>
        <w:spacing w:after="100" w:lineRule="auto"/>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sz w:val="22"/>
          <w:szCs w:val="22"/>
          <w:rtl w:val="0"/>
        </w:rPr>
        <w:t xml:space="preserve">El Stage 1 (máxima carga con 140 VUs) concentró la mayor cantidad de errores 5xx con una tasa de 1.58 req/s. Los errores HTTP 5xx son errores del servidor (Internal Server Error, Gateway Timeout, etc.), lo que sugiere que la infraestructura del servicio presenta saturación bajo carga sostenida.</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rtl w:val="0"/>
        </w:rPr>
      </w:r>
    </w:p>
    <w:p w:rsidR="00000000" w:rsidDel="00000000" w:rsidP="00000000" w:rsidRDefault="00000000" w:rsidRPr="00000000" w14:paraId="0000006D">
      <w:pPr>
        <w:pStyle w:val="Heading2"/>
        <w:rPr>
          <w:color w:val="000000"/>
        </w:rPr>
      </w:pPr>
      <w:r w:rsidDel="00000000" w:rsidR="00000000" w:rsidRPr="00000000">
        <w:rPr>
          <w:rFonts w:ascii="Arial" w:cs="Arial" w:eastAsia="Arial" w:hAnsi="Arial"/>
          <w:b w:val="1"/>
          <w:bCs w:val="1"/>
          <w:color w:val="000000"/>
          <w:sz w:val="26"/>
          <w:szCs w:val="26"/>
          <w:rtl w:val="0"/>
        </w:rPr>
        <w:t xml:space="preserve">3.4 Análisis del Diagrama VUs vs HTTP Requests</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2"/>
          <w:szCs w:val="22"/>
          <w:rtl w:val="0"/>
        </w:rPr>
        <w:t xml:space="preserve">El diagrama de monitoreo muestra la relación entre los usuarios virtuales activos (VUs) y las peticiones HTTP por segundo (http_reqs) a lo largo del tiempo de la prueba. Se observan los siguientes patrones clave:</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Fase de rampa (ramp-up):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Entre las 01:40 y aproximadamente 01:55, los VUs aumentaron progresivamente hasta alcanzar el nivel máximo de 140 VUs. Durante esta fase el throughput también escala de forma proporcional.</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Caída abrupta ~01:55: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 aprecia una caída notable en el número de VUs y en las peticiones por segundo alrededor de las 01:55. Esto puede ser indicativo de un corte o pausa en el escenario (posiblemente entre stages), o de un problema de conectividad momentáneo que redujo la concurrencia activa.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Fase estable con pico de 82.6 req/s: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Alrededor de las 02:02, con 140 VUs activos, se registró el pico de throughput de 82.6 peticiones por segundo. Este valor supera ampliamente el requisito mínimo de 20 TPS.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Fase de descenso (ramp-down):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Posterior a las 02:10, los VUs comenzaron a disminuir hasta llegar a valores mínimos, y el throughput descendió de forma proporcional.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Comportamiento irregular del throughput: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lo largo de toda la prueba se observan fluctuaciones (ruido) en las peticiones por segundo, lo cual es normal en pruebas de carga pero puede indicar variabilidad en los tiempos de respuesta del servidor.</w:t>
      </w:r>
    </w:p>
    <w:p w:rsidR="00000000" w:rsidDel="00000000" w:rsidP="00000000" w:rsidRDefault="00000000" w:rsidRPr="00000000" w14:paraId="00000075">
      <w:pPr>
        <w:spacing w:after="100" w:lineRule="auto"/>
        <w:rPr/>
      </w:pPr>
      <w:r w:rsidDel="00000000" w:rsidR="00000000" w:rsidRPr="00000000">
        <w:rPr>
          <w:rtl w:val="0"/>
        </w:rPr>
      </w:r>
    </w:p>
    <w:p w:rsidR="00000000" w:rsidDel="00000000" w:rsidP="00000000" w:rsidRDefault="00000000" w:rsidRPr="00000000" w14:paraId="00000076">
      <w:pPr>
        <w:pStyle w:val="Heading1"/>
        <w:rPr>
          <w:color w:val="000000"/>
        </w:rPr>
      </w:pPr>
      <w:r w:rsidDel="00000000" w:rsidR="00000000" w:rsidRPr="00000000">
        <w:rPr>
          <w:rFonts w:ascii="Arial" w:cs="Arial" w:eastAsia="Arial" w:hAnsi="Arial"/>
          <w:b w:val="1"/>
          <w:bCs w:val="1"/>
          <w:color w:val="000000"/>
          <w:sz w:val="32"/>
          <w:szCs w:val="32"/>
          <w:rtl w:val="0"/>
        </w:rPr>
        <w:t xml:space="preserve">4. Hallazgos Principales</w:t>
      </w:r>
      <w:r w:rsidDel="00000000" w:rsidR="00000000" w:rsidRPr="00000000">
        <w:rPr>
          <w:rtl w:val="0"/>
        </w:rPr>
      </w:r>
    </w:p>
    <w:p w:rsidR="00000000" w:rsidDel="00000000" w:rsidP="00000000" w:rsidRDefault="00000000" w:rsidRPr="00000000" w14:paraId="00000077">
      <w:pPr>
        <w:spacing w:after="10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Percentil 95 supera el umbral de tiempo de respuesta: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p(95) de 1.57s supera el límite aceptable de 1.5s. Aunque es una diferencia pequeña, en producción esto representaría que 1 de cada 20 usuarios experimenta latencia excesiva.</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Tiempo máximo de 29.93 segundos: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Este valor extremo indica la presencia de peticiones que experimentan alta latencia, posiblemente por saturación del servidor o colas de espera (queuing). En un entorno productivo esto produciría timeouts para los usuarios.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Errores HTTP 5xx bajo máxima carga: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concentración de errores 5xx durante el Stage 1 (140 VUs) sugiere que el servidor comienza a presentar problemas de capacidad cuando la carga es sostenida. Aunque la tasa global del 2.44% está dentro del umbral, los 5xx son críticos ya que representan fallos del lado del servidor.</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La prueba supera el objetivo de TPS: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 un promedio de 73.17 TPS y un pico de 82.6 req/s, el servicio superó ampliamente el requisito de 20 TPS. Esto demuestra capacidad de procesamiento suficiente para el volumen esperado.</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Caída abrupta de VUs hacia ~01:55: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diagrama muestra una caída repentina de usuarios activos y peticiones, que puede estar relacionada con la transición entre etapas del escenario o con algún problema temporal en la generación de carga.</w:t>
      </w:r>
    </w:p>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pStyle w:val="Heading1"/>
        <w:rPr>
          <w:color w:val="000000"/>
        </w:rPr>
      </w:pPr>
      <w:r w:rsidDel="00000000" w:rsidR="00000000" w:rsidRPr="00000000">
        <w:rPr>
          <w:rFonts w:ascii="Arial" w:cs="Arial" w:eastAsia="Arial" w:hAnsi="Arial"/>
          <w:b w:val="1"/>
          <w:bCs w:val="1"/>
          <w:color w:val="000000"/>
          <w:sz w:val="32"/>
          <w:szCs w:val="32"/>
          <w:rtl w:val="0"/>
        </w:rPr>
        <w:t xml:space="preserve">5. Conclusiones</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sz w:val="22"/>
          <w:szCs w:val="22"/>
          <w:rtl w:val="0"/>
        </w:rPr>
        <w:t xml:space="preserve">La prueba de carga ejecutada sobre el servicio de autenticación arroja resultados mixtos. Por un lado, el servicio demuestra una capacidad de throughput que excede el objetivo planteado (20 TPS), y la tasa de errores global se mantiene dentro del umbral aceptable del 3%. Sin embargo, existen señales de alerta que deben ser atendidas antes de considerar el servicio completamente apto para carga de producción equivalente:</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El percentil p95 de tiempo de respuesta (1.57s) supera el límite de 1.5s definido en los criterios de aceptación, lo que implica que el criterio de tiempo de respuesta NO es aprobado en su totalidad.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presencia de tiempos máximos de hasta 29.93 segundos indica que el servicio no garantiza respuestas consistentes bajo carga sostenida de 140 VUs.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Los errores HTTP 5xx durante el Stage 1 indican un punto de quiebre de capacidad que debe ser investigado a nivel de infraestructura.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La prueba cumple el objetivo de TPS (73.17 req/s promedio) y el criterio de tasa de error global (2.44% &lt; 3%).</w:t>
      </w:r>
    </w:p>
    <w:p w:rsidR="00000000" w:rsidDel="00000000" w:rsidP="00000000" w:rsidRDefault="00000000" w:rsidRPr="00000000" w14:paraId="00000085">
      <w:pPr>
        <w:spacing w:after="100" w:lineRule="auto"/>
        <w:rPr/>
      </w:pP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sz w:val="22"/>
          <w:szCs w:val="22"/>
          <w:rtl w:val="0"/>
        </w:rPr>
        <w:t xml:space="preserve">En resumen: la prueba PASA parcialmente. Los criterios de TPS y tasa de error son cumplidos; sin embargo, el criterio de tiempo de respuesta no se cumple al nivel del p95, lo que requiere optimización antes de aprobar el servicio para producción.</w:t>
      </w: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rtl w:val="0"/>
        </w:rPr>
      </w:r>
    </w:p>
    <w:p w:rsidR="00000000" w:rsidDel="00000000" w:rsidP="00000000" w:rsidRDefault="00000000" w:rsidRPr="00000000" w14:paraId="00000088">
      <w:pPr>
        <w:pStyle w:val="Heading1"/>
        <w:rPr>
          <w:color w:val="000000"/>
        </w:rPr>
      </w:pPr>
      <w:r w:rsidDel="00000000" w:rsidR="00000000" w:rsidRPr="00000000">
        <w:rPr>
          <w:rFonts w:ascii="Arial" w:cs="Arial" w:eastAsia="Arial" w:hAnsi="Arial"/>
          <w:b w:val="1"/>
          <w:bCs w:val="1"/>
          <w:color w:val="000000"/>
          <w:sz w:val="32"/>
          <w:szCs w:val="32"/>
          <w:rtl w:val="0"/>
        </w:rPr>
        <w:t xml:space="preserve">6. Recomendaciones</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Investigar y optimizar la latencia en percentiles altos (p95+):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Revisar configuraciones de pool de conexiones, timeouts en el servidor y posibles cuellos de botella en la base de datos para reducir el p95 por debajo de 1.5s.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Analizar las causas raíz de los errores HTTP 5xx: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Revisar los logs del servidor durante el Stage 1 para identificar si los 5xx son causados por saturación de CPU, memoria, agotamiento de threads o límites de conexiones simultáneas.</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Establecer un límite de TPS más preciso con prueba de estrés: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Ejecutar una prueba de estrés adicional que incremente la carga progresivamente hasta identificar el punto exacto de degradación del servicio (breaking point).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Implementar monitoreo de recursos del servidor: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Complementar las métricas de k6 con monitoreo de CPU, memoria, I/O y conexiones de base de datos durante las pruebas para correlacionar la degradación del rendimiento con el comportamiento de la infraestructura.</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Revisar el escenario de la prueba en la transición entre stages: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Investigar la caída abrupta de VUs observada alrededor de las 01:55 en el diagrama para confirmar si fue intencional en el script o representa un problema en la ejecución de la prueba.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Considerar implementar rate limiting y circuit breaker: </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Para ambientes productivos, se recomienda implementar mecanismos de protección que limiten la cantidad de peticiones aceptadas cuando el sistema alcance su capacidad máxima, evitando así los tiempos de respuesta extremos observados.</w:t>
      </w:r>
    </w:p>
    <w:p w:rsidR="00000000" w:rsidDel="00000000" w:rsidP="00000000" w:rsidRDefault="00000000" w:rsidRPr="00000000" w14:paraId="00000090">
      <w:pPr>
        <w:spacing w:after="100" w:lineRule="auto"/>
        <w:rPr/>
      </w:pPr>
      <w:r w:rsidDel="00000000" w:rsidR="00000000" w:rsidRPr="00000000">
        <w:rPr>
          <w:rtl w:val="0"/>
        </w:rPr>
      </w:r>
    </w:p>
    <w:p w:rsidR="00000000" w:rsidDel="00000000" w:rsidP="00000000" w:rsidRDefault="00000000" w:rsidRPr="00000000" w14:paraId="00000091">
      <w:pPr>
        <w:pBdr>
          <w:bottom w:color="2e5fa3" w:space="1" w:sz="6" w:val="single"/>
        </w:pBdr>
        <w:spacing w:after="200" w:lineRule="auto"/>
        <w:rPr/>
      </w:pPr>
      <w:r w:rsidDel="00000000" w:rsidR="00000000" w:rsidRPr="00000000">
        <w:rPr>
          <w:rtl w:val="0"/>
        </w:rPr>
      </w:r>
    </w:p>
    <w:p w:rsidR="00000000" w:rsidDel="00000000" w:rsidP="00000000" w:rsidRDefault="00000000" w:rsidRPr="00000000" w14:paraId="00000092">
      <w:pPr>
        <w:jc w:val="right"/>
        <w:rPr/>
      </w:pPr>
      <w:r w:rsidDel="00000000" w:rsidR="00000000" w:rsidRPr="00000000">
        <w:rPr>
          <w:rFonts w:ascii="Arial" w:cs="Arial" w:eastAsia="Arial" w:hAnsi="Arial"/>
          <w:i w:val="1"/>
          <w:iCs w:val="1"/>
          <w:sz w:val="18"/>
          <w:szCs w:val="18"/>
          <w:rtl w:val="0"/>
        </w:rPr>
        <w:t xml:space="preserve">Documento generado: Abril 2026  |  Ejercicio 2 – Análisis de Resultados k6</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pPr>
    <w:r w:rsidDel="00000000" w:rsidR="00000000" w:rsidRPr="00000000">
      <w:rPr>
        <w:rFonts w:ascii="Arial" w:cs="Arial" w:eastAsia="Arial" w:hAnsi="Arial"/>
        <w:color w:val="888888"/>
        <w:sz w:val="18"/>
        <w:szCs w:val="18"/>
        <w:rtl w:val="0"/>
      </w:rPr>
      <w:t xml:space="preserve">Informe de Resultados – Prueba de Carga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SFjbLme+HcxF6DiHPYOPVE5xDA==">CgMxLjAaJAoBMBIfCh0IB0IZCgVBcmlhbBIQQXJpYWwgVW5pY29kZSBNUxokCgExEh8KHQgHQhkKBUFyaWFsEhBBcmlhbCBVbmljb2RlIE1TGiQKATISHwodCAdCGQoFQXJpYWwSEEFyaWFsIFVuaWNvZGUgTVMaJAoBMxIfCh0IB0IZCgVBcmlhbBIQQXJpYWwgVW5pY29kZSBNUxokCgE0Eh8KHQgHQhkKBUFyaWFsEhBBcmlhbCBVbmljb2RlIE1TOAByITFVVGF2RDdoQnIwV2I3YWM1eGFCOUR5a3JwUlRvemhj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