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bottom w:val="thinThickLargeGap" w:sz="0" w:space="0" w:color="auto"/>
            </w:tcBorders>
            <w:tcBorders/>
          </w:tcPr>
          <w:p>
            <w:pPr>
              <w:spacing w:after="0" w:line="240" w:lineRule="exact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ФЕДЕРАЛЬНОЕ АГЕНТСТВО МОРСКОГО И РЕЧНОГО ТРАНСПОРТА</w:t>
            </w:r>
          </w:p>
        </w:tc>
      </w:tr>
      <w:tr>
        <w:tc>
          <w:tcPr>
            <w:tcW w:type="dxa" w:w="14570"/>
            <w:tcBorders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  <w:t>«СИБИРСКИЙ ГОСУДАРСТВЕННЫЙ УНИВЕРСИТЕТ ВОДНОГО ТРАНСПОРТА»</w:t>
            </w:r>
          </w:p>
        </w:tc>
      </w:tr>
    </w:tbl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Список опубликованных учебных изданий и научных трудов</w:t>
      </w:r>
    </w:p>
    <w:p>
      <w:pPr>
        <w:spacing w:before="0" w:after="0" w:line="240" w:lineRule="exact"/>
        <w:jc w:val="center"/>
        <w:pBdr>
          <w:bottom w:val="single" w:sz="8" w:space="1" w:color="auto"/>
        </w:pBdr>
      </w:pPr>
      <w:r>
        <w:rPr>
          <w:rFonts w:ascii="Times New Roman" w:hAnsi="Times New Roman" w:eastAsia="Times New Roman"/>
          <w:b/>
          <w:sz w:val="28"/>
        </w:rPr>
        <w:t>ПМ</w:t>
      </w:r>
    </w:p>
    <w:p>
      <w:pPr>
        <w:spacing w:before="20" w:after="20" w:line="300" w:lineRule="exact"/>
        <w:jc w:val="center"/>
      </w:pPr>
      <w:r>
        <w:rPr>
          <w:rFonts w:ascii="Times New Roman" w:hAnsi="Times New Roman" w:eastAsia="Times New Roman"/>
          <w:b w:val="0"/>
          <w:sz w:val="28"/>
        </w:rPr>
        <w:t>(название кафедры)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14571" w:type="dxa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tcW w:w="43000" w:type="dxa"/>
            <w:vAlign w:val="center"/>
            <w:tcBorders>
              <w:start w:sz="14" w:val="single" w:color="#000000" w:space="0"/>
              <w:top w:sz="14" w:val="single" w:color="#000000" w:space="0"/>
              <w:end w:sz="14" w:val="single" w:color="#000000" w:space="0"/>
              <w:bottom w:sz="14" w:val="single" w:color="#000000" w:space="0"/>
              <w:insideH w:sz="14" w:val="single" w:color="#000000" w:space="0"/>
              <w:insideV w:sz="14" w:val="single" w:color="#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  <w:br/>
              <w:t>п/п</w:t>
            </w:r>
          </w:p>
        </w:tc>
        <w:tc>
          <w:tcPr>
            <w:tcW w:type="dxa" w:w="2428"/>
            <w:tcW w:w="270000" w:type="dxa"/>
            <w:vAlign w:val="center"/>
            <w:tcBorders>
              <w:start w:sz="14" w:val="single" w:color="#000000" w:space="0"/>
              <w:top w:sz="14" w:val="single" w:color="#000000" w:space="0"/>
              <w:end w:sz="14" w:val="single" w:color="#000000" w:space="0"/>
              <w:bottom w:sz="14" w:val="single" w:color="#000000" w:space="0"/>
              <w:insideH w:sz="14" w:val="single" w:color="#000000" w:space="0"/>
              <w:insideV w:sz="14" w:val="single" w:color="#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Наименование учебных изданий и научных трудов</w:t>
            </w:r>
          </w:p>
        </w:tc>
        <w:tc>
          <w:tcPr>
            <w:tcW w:type="dxa" w:w="2428"/>
            <w:tcW w:w="135000" w:type="dxa"/>
            <w:vAlign w:val="center"/>
            <w:tcBorders>
              <w:start w:sz="14" w:val="single" w:color="#000000" w:space="0"/>
              <w:top w:sz="14" w:val="single" w:color="#000000" w:space="0"/>
              <w:end w:sz="14" w:val="single" w:color="#000000" w:space="0"/>
              <w:bottom w:sz="14" w:val="single" w:color="#000000" w:space="0"/>
              <w:insideH w:sz="14" w:val="single" w:color="#000000" w:space="0"/>
              <w:insideV w:sz="14" w:val="single" w:color="#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Форма учеб. изд. и науч. трудов</w:t>
            </w:r>
          </w:p>
        </w:tc>
        <w:tc>
          <w:tcPr>
            <w:tcW w:type="dxa" w:w="2428"/>
            <w:tcW w:w="234000" w:type="dxa"/>
            <w:vAlign w:val="center"/>
            <w:tcBorders>
              <w:start w:sz="14" w:val="single" w:color="#000000" w:space="0"/>
              <w:top w:sz="14" w:val="single" w:color="#000000" w:space="0"/>
              <w:end w:sz="14" w:val="single" w:color="#000000" w:space="0"/>
              <w:bottom w:sz="14" w:val="single" w:color="#000000" w:space="0"/>
              <w:insideH w:sz="14" w:val="single" w:color="#000000" w:space="0"/>
              <w:insideV w:sz="14" w:val="single" w:color="#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Выходные данные</w:t>
            </w:r>
          </w:p>
        </w:tc>
        <w:tc>
          <w:tcPr>
            <w:tcW w:type="dxa" w:w="2428"/>
            <w:tcW w:w="36000" w:type="dxa"/>
            <w:vAlign w:val="center"/>
            <w:tcBorders>
              <w:start w:sz="14" w:val="single" w:color="#000000" w:space="0"/>
              <w:top w:sz="14" w:val="single" w:color="#000000" w:space="0"/>
              <w:end w:sz="14" w:val="single" w:color="#000000" w:space="0"/>
              <w:bottom w:sz="14" w:val="single" w:color="#000000" w:space="0"/>
              <w:insideH w:sz="14" w:val="single" w:color="#000000" w:space="0"/>
              <w:insideV w:sz="14" w:val="single" w:color="#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Объем</w:t>
            </w:r>
          </w:p>
        </w:tc>
        <w:tc>
          <w:tcPr>
            <w:tcW w:type="dxa" w:w="2428"/>
            <w:tcW w:w="200200" w:type="dxa"/>
            <w:vAlign w:val="center"/>
            <w:tcBorders>
              <w:start w:sz="14" w:val="single" w:color="#000000" w:space="0"/>
              <w:top w:sz="14" w:val="single" w:color="#000000" w:space="0"/>
              <w:end w:sz="14" w:val="single" w:color="#000000" w:space="0"/>
              <w:bottom w:sz="14" w:val="single" w:color="#000000" w:space="0"/>
              <w:insideH w:sz="14" w:val="single" w:color="#000000" w:space="0"/>
              <w:insideV w:sz="14" w:val="single" w:color="#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Авторы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14568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Доклад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Научная работа №18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- 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Медицинский журнал, 2022 - None с.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None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Голышев Д.Н.</w:t>
              <w:br/>
              <w:t>Жилин А.А.</w:t>
            </w:r>
          </w:p>
        </w:tc>
      </w:tr>
      <w:tr>
        <w:tc>
          <w:tcPr>
            <w:tcW w:type="dxa" w:w="14568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Монография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Научная работа №30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- 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Системный журнал, 2022 - None с.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None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Жилин А.А.</w:t>
            </w:r>
          </w:p>
        </w:tc>
      </w:tr>
      <w:tr>
        <w:tc>
          <w:tcPr>
            <w:tcW w:type="dxa" w:w="14568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Научно-технический отчёт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Научная работа №36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- 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Вычислительный журнал, 2022 - None с.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None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Голышев Д.Н.</w:t>
              <w:br/>
              <w:t>Моторин С.В.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Научная работа №6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- 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Химическое издание, 2017 - None с.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None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Голышев Д.Н.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Научная работа №21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- 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Археологическое издание, 2023 - None с.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None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Жилин А.А.</w:t>
              <w:br/>
              <w:t>Моторин С.В.</w:t>
            </w:r>
          </w:p>
        </w:tc>
      </w:tr>
      <w:tr>
        <w:tc>
          <w:tcPr>
            <w:tcW w:type="dxa" w:w="14568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Пособие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Научная работа №24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- 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Экологическое издание, 2020 - None с.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None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Жилин А.А.</w:t>
              <w:br/>
              <w:t>Моторин С.В.</w:t>
            </w:r>
          </w:p>
        </w:tc>
      </w:tr>
      <w:tr>
        <w:tc>
          <w:tcPr>
            <w:tcW w:type="dxa" w:w="14568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Статья/Материалы конференции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7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Научная работа №12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- 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Экономическое обозрение, 2020 - None с.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None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Голышев Д.Н.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8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Научная работа №42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- 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Оптическое издание, 2022 - None с.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None</w:t>
            </w:r>
          </w:p>
        </w:tc>
        <w:tc>
          <w:tcPr>
            <w:tcW w:type="dxa" w:w="2428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Голышев Д.Н.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