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MAESTROHUB  WHITEPAPER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MaestroHub Token Whitepaper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Abstract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MaestroHub Token ($MHT) is the foundation of a revolutionary platform designed to empower Web3 communities by streamlining access to essential resources. It combines the utility of airdrop tracking, testnet opportunities, grants, job boards, and meme insights into a cohesive ecosystem. With $MHT, we aim to create a sustainable, community-driven hub that fosters innovation, collaboration, and long-term growth in the decentralized economy.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Table of Contents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Introduction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Mission and Vision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Utilities and Features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Tokenomics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Roadmap</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Technology Stack</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7. Governance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8. Community Engagement and Partnerships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9. Team and Advisors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10. Security and Audits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11. Conclusion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12. References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1. Introduction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Web3 ecosystem is rapidly evolving, creating opportunities and challenges for crypto enthusiasts, developers, and startups. However, accessing relevant information, resources, and tools often feels fragmented and overwhelming. MaestroHub Token aims to bridge this gap by providing a unified platform where users can explore airdrops, testnets, job opportunities, and more in one place.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2. Mission and Vision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Mission: To be the ultimate hub for Web3 communities, fostering innovation, inclusivity, and collaboration.</w:t>
      </w:r>
    </w:p>
    <w:p w:rsidR="00000000" w:rsidDel="00000000" w:rsidP="00000000" w:rsidRDefault="00000000" w:rsidRPr="00000000" w14:paraId="00000038">
      <w:pPr>
        <w:rPr/>
      </w:pPr>
      <w:r w:rsidDel="00000000" w:rsidR="00000000" w:rsidRPr="00000000">
        <w:rPr>
          <w:rtl w:val="0"/>
        </w:rPr>
        <w:t xml:space="preserve">Vision: To build a decentralized ecosystem where resources are accessible, opportunities are abundant, and the community drives growth.</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3. Utilities and Features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Core Features of MaestroHub Platform</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 Airdrop Finder: Stay updated with ongoing and upcoming airdrops in real time.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2. Testnet Explorer: Discover testnet opportunities to earn rewards and contribute to Web3 projects.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3. Job Board: Curated Web3 job listings tailored to developers, marketers, and community managers.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4. Grants Section: Access a comprehensive directory of funding opportunities for projects.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5. Meme Insights: Analyze meme trends and predict potential viral opportunities.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Additional Utilities with $MHT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Governance: Token holders can vote on platform updates and features.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Staking Rewards: Earn rewards by staking $MHT.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Marketplace: Purchase resources, guides, and tools using $MHT.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4. Tokenomics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 total supply of MaestroHub Token ($MHT) is capped at 1,000,000,000 tokens, ensuring a fixed supply with no further minting. The distribution is as follows: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1. Community Rewards (40%): This allocation is reserved for airdrops, staking rewards, and other community engagement activities to incentivize participation and long-term loyalty.</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2. Development (20%): Dedicated to funding the development and enhancement of platform features, ensuring the MaestroHub ecosystem remains cutting-edge and user-friendly.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3. Partnerships (15%): Allocated to incentivize collaborations with Web3 projects and platforms, broadening the ecosystem's reach and resource network.</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4. Marketing (15%): This allocation supports growth campaigns, user acquisition, and global outreach to establish MaestroHub as a leading platform in the Web3 space.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5. Team and Advisors (10%): Reserved for the team and advisors, with a lock-up period of two years and a structured vesting schedule to ensure commitment and alignment with long-term goal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5. Roadmap</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Phase 1: Foundation &amp; Launch (Q1 2024)</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Finalize concept and utilities.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Launch the MVP website with basic features.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Build community engagement through AMAs and giveaways.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Phase 2: Token Creation &amp; Partnerships (Q2 2024)</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Deploy and audit $MHT smart contract.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Token Generation Event (TGE).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Partner with leading Web3 projects.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Phase 3: Expansion (Q3 2024)</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Launch staking and governance features.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Add advanced tools like airdrop checker and grants directory.</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Phase 4: Mobile App and Marketplace (Q4 2024)</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Release mobile app for cross-platform usability.</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Enable $MHT in the marketplace for resources and NFTs.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Long-Term Goals (2025 and Beyond)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Introduce advanced governance mechanisms.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Expand ecosystem utilities, including DeFi integrations.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6. Technology Stack</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Blockchain: Solana (for scalability and low fees).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Frontend: React.js, TypeScript.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Backend: Node.js, MongoDB.</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Smart Contracts: Rust-based programs audited for security.</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APIs: Integration with major crypto data providers like CoinGecko and Etherscan.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7. Governance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MaestroHub Token holders form the backbone of the platform's decision-making process. Governance features include: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Voting on platform updates.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Proposals for new utilities or collaborations.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Community-led initiatives funded by treasury reserves.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8. Community Engagement and Partnerships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We believe in the power of collaboration. Partnerships with testnet developers, airdrop projects, and grant providers will ensure a steady flow of opportunities for our users. Community engagement initiatives, such as workshops and referral programs, will drive adoption and loyalty.</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9. Team and Advisors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Core Team: Experienced professionals in blockchain, software development, and community management.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Advisors: Industry veterans providing strategic insights.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10. Security and Audits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The platform and smart contracts will undergo rigorous security audits by reputable firms to ensure user safety and trust. We will adhere to the highest standards of cybersecurity and data privacy.</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11. Conclusion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MaestroHub Token is more than a token; it’s the gateway to an interconnected Web3 community. By streamlining access to critical resources and fostering collaboration, we aim to position MaestroHub as the go-to platform for crypto enthusiasts, developers, and builders alike.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12. References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1. Solana Documentation</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2. Etherscan API</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3. MaestroHub Token Official Site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