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449"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76"/>
        <w:gridCol w:w="1929"/>
        <w:gridCol w:w="2086"/>
        <w:gridCol w:w="1820"/>
        <w:gridCol w:w="1970"/>
        <w:gridCol w:w="2268"/>
      </w:tblGrid>
      <w:tr w:rsidR="003B0145" w:rsidRPr="003B0145" w14:paraId="3268B42B" w14:textId="77777777" w:rsidTr="003B0145">
        <w:trPr>
          <w:trHeight w:val="433"/>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00540A7" w14:textId="77777777" w:rsidR="003B0145" w:rsidRPr="003B0145" w:rsidRDefault="003B0145" w:rsidP="003B0145">
            <w:pPr>
              <w:spacing w:after="0" w:line="240" w:lineRule="auto"/>
              <w:jc w:val="center"/>
              <w:rPr>
                <w:rFonts w:ascii="Segoe UI" w:eastAsia="Times New Roman" w:hAnsi="Segoe UI" w:cs="Segoe UI"/>
                <w:b/>
                <w:bCs/>
                <w:color w:val="0D0D0D"/>
                <w:sz w:val="18"/>
                <w:szCs w:val="18"/>
                <w:lang w:eastAsia="es-MX"/>
              </w:rPr>
            </w:pPr>
            <w:r w:rsidRPr="003B0145">
              <w:rPr>
                <w:rFonts w:ascii="Segoe UI" w:eastAsia="Times New Roman" w:hAnsi="Segoe UI" w:cs="Segoe UI"/>
                <w:b/>
                <w:bCs/>
                <w:color w:val="0D0D0D"/>
                <w:sz w:val="18"/>
                <w:szCs w:val="18"/>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48E1B1E" w14:textId="77777777" w:rsidR="003B0145" w:rsidRPr="003B0145" w:rsidRDefault="003B0145" w:rsidP="003B0145">
            <w:pPr>
              <w:spacing w:after="0" w:line="240" w:lineRule="auto"/>
              <w:jc w:val="center"/>
              <w:rPr>
                <w:rFonts w:ascii="Segoe UI" w:eastAsia="Times New Roman" w:hAnsi="Segoe UI" w:cs="Segoe UI"/>
                <w:b/>
                <w:bCs/>
                <w:color w:val="0D0D0D"/>
                <w:sz w:val="18"/>
                <w:szCs w:val="18"/>
                <w:lang w:eastAsia="es-MX"/>
              </w:rPr>
            </w:pPr>
            <w:r w:rsidRPr="003B0145">
              <w:rPr>
                <w:rFonts w:ascii="Segoe UI" w:eastAsia="Times New Roman" w:hAnsi="Segoe UI" w:cs="Segoe UI"/>
                <w:b/>
                <w:bCs/>
                <w:color w:val="0D0D0D"/>
                <w:sz w:val="18"/>
                <w:szCs w:val="18"/>
                <w:bdr w:val="single" w:sz="2" w:space="0" w:color="E3E3E3" w:frame="1"/>
                <w:lang w:eastAsia="es-MX"/>
              </w:rPr>
              <w:t>insuficiente</w:t>
            </w:r>
          </w:p>
        </w:tc>
        <w:tc>
          <w:tcPr>
            <w:tcW w:w="2056"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AB2F635" w14:textId="77777777" w:rsidR="003B0145" w:rsidRPr="003B0145" w:rsidRDefault="003B0145" w:rsidP="003B0145">
            <w:pPr>
              <w:spacing w:after="0" w:line="240" w:lineRule="auto"/>
              <w:jc w:val="center"/>
              <w:rPr>
                <w:rFonts w:ascii="Segoe UI" w:eastAsia="Times New Roman" w:hAnsi="Segoe UI" w:cs="Segoe UI"/>
                <w:b/>
                <w:bCs/>
                <w:color w:val="0D0D0D"/>
                <w:sz w:val="18"/>
                <w:szCs w:val="18"/>
                <w:lang w:eastAsia="es-MX"/>
              </w:rPr>
            </w:pPr>
            <w:r w:rsidRPr="003B0145">
              <w:rPr>
                <w:rFonts w:ascii="Segoe UI" w:eastAsia="Times New Roman" w:hAnsi="Segoe UI" w:cs="Segoe UI"/>
                <w:b/>
                <w:bCs/>
                <w:color w:val="0D0D0D"/>
                <w:sz w:val="18"/>
                <w:szCs w:val="18"/>
                <w:bdr w:val="single" w:sz="2" w:space="0" w:color="E3E3E3" w:frame="1"/>
                <w:lang w:eastAsia="es-MX"/>
              </w:rPr>
              <w:t>suficiente</w:t>
            </w:r>
          </w:p>
        </w:tc>
        <w:tc>
          <w:tcPr>
            <w:tcW w:w="1790"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E9C44D2" w14:textId="77777777" w:rsidR="003B0145" w:rsidRPr="003B0145" w:rsidRDefault="003B0145" w:rsidP="003B0145">
            <w:pPr>
              <w:spacing w:after="0" w:line="240" w:lineRule="auto"/>
              <w:jc w:val="center"/>
              <w:rPr>
                <w:rFonts w:ascii="Segoe UI" w:eastAsia="Times New Roman" w:hAnsi="Segoe UI" w:cs="Segoe UI"/>
                <w:b/>
                <w:bCs/>
                <w:color w:val="0D0D0D"/>
                <w:sz w:val="18"/>
                <w:szCs w:val="18"/>
                <w:lang w:eastAsia="es-MX"/>
              </w:rPr>
            </w:pPr>
            <w:r w:rsidRPr="003B0145">
              <w:rPr>
                <w:rFonts w:ascii="Segoe UI" w:eastAsia="Times New Roman" w:hAnsi="Segoe UI" w:cs="Segoe UI"/>
                <w:b/>
                <w:bCs/>
                <w:color w:val="0D0D0D"/>
                <w:sz w:val="18"/>
                <w:szCs w:val="18"/>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C08DF8A" w14:textId="77777777" w:rsidR="003B0145" w:rsidRPr="003B0145" w:rsidRDefault="003B0145" w:rsidP="003B0145">
            <w:pPr>
              <w:spacing w:after="0" w:line="240" w:lineRule="auto"/>
              <w:jc w:val="center"/>
              <w:rPr>
                <w:rFonts w:ascii="Segoe UI" w:eastAsia="Times New Roman" w:hAnsi="Segoe UI" w:cs="Segoe UI"/>
                <w:b/>
                <w:bCs/>
                <w:color w:val="0D0D0D"/>
                <w:sz w:val="18"/>
                <w:szCs w:val="18"/>
                <w:lang w:eastAsia="es-MX"/>
              </w:rPr>
            </w:pPr>
            <w:r w:rsidRPr="003B0145">
              <w:rPr>
                <w:rFonts w:ascii="Segoe UI" w:eastAsia="Times New Roman" w:hAnsi="Segoe UI" w:cs="Segoe UI"/>
                <w:b/>
                <w:bCs/>
                <w:color w:val="0D0D0D"/>
                <w:sz w:val="18"/>
                <w:szCs w:val="18"/>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B749444" w14:textId="77777777" w:rsidR="003B0145" w:rsidRPr="003B0145" w:rsidRDefault="003B0145" w:rsidP="003B0145">
            <w:pPr>
              <w:spacing w:after="0" w:line="240" w:lineRule="auto"/>
              <w:jc w:val="center"/>
              <w:rPr>
                <w:rFonts w:ascii="Segoe UI" w:eastAsia="Times New Roman" w:hAnsi="Segoe UI" w:cs="Segoe UI"/>
                <w:b/>
                <w:bCs/>
                <w:color w:val="0D0D0D"/>
                <w:sz w:val="18"/>
                <w:szCs w:val="18"/>
                <w:lang w:eastAsia="es-MX"/>
              </w:rPr>
            </w:pPr>
            <w:r w:rsidRPr="003B0145">
              <w:rPr>
                <w:rFonts w:ascii="Segoe UI" w:eastAsia="Times New Roman" w:hAnsi="Segoe UI" w:cs="Segoe UI"/>
                <w:b/>
                <w:bCs/>
                <w:color w:val="0D0D0D"/>
                <w:sz w:val="18"/>
                <w:szCs w:val="18"/>
                <w:bdr w:val="single" w:sz="2" w:space="0" w:color="E3E3E3" w:frame="1"/>
                <w:lang w:eastAsia="es-MX"/>
              </w:rPr>
              <w:t>Excelente</w:t>
            </w:r>
          </w:p>
        </w:tc>
      </w:tr>
      <w:tr w:rsidR="003B0145" w:rsidRPr="003B0145" w14:paraId="1F6EB036" w14:textId="77777777" w:rsidTr="003B0145">
        <w:trPr>
          <w:trHeight w:val="215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5D4A9B0"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Precisión del análisis de distribución de aguas oceánicas y población.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7EBD7E"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 distribución de aguas oceánicas y población es inexacto o limitado, mostrando falta de comprensión de cómo estos factores contribuyen a los riesgos de huracanes e inundaciones.</w:t>
            </w:r>
          </w:p>
        </w:tc>
        <w:tc>
          <w:tcPr>
            <w:tcW w:w="205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B389504"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 distribución de aguas oceánicas y población es básico, mostrando cierta comprensión de cómo estos factores contribuyen a los riesgos de huracanes e inundaciones, pero con falta de profundidad.</w:t>
            </w:r>
          </w:p>
        </w:tc>
        <w:tc>
          <w:tcPr>
            <w:tcW w:w="1790"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B9993C"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 distribución de aguas oceánicas y población es adecuado, mostrando una comprensión clara de cómo estos factores contribuyen a los riesgos de huracanes e inundaciones.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388A76"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 distribución de aguas oceánicas y población es muy claro y profundo, demostrando una comprensión completa de cómo estos factores contribuyen a los riesgos de huracanes e inundaciones.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724877E"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 distribución de aguas oceánicas y población es excepcional, mostrando un dominio completo y cómodo de cómo estos factores contribuyen a los riesgos de huracanes e inundaciones.</w:t>
            </w:r>
          </w:p>
        </w:tc>
      </w:tr>
      <w:tr w:rsidR="003B0145" w:rsidRPr="003B0145" w14:paraId="72C681F5" w14:textId="77777777" w:rsidTr="003B0145">
        <w:trPr>
          <w:trHeight w:val="2152"/>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46ACD5F"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Identificación de zonas vulnerables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55B9D6"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identificación de zonas vulnerables es confusa o poco precisa, mostrando falta de criterio para determinar qué áreas son más susceptibles a los riesgos de huracanes e inundaciones.</w:t>
            </w:r>
          </w:p>
        </w:tc>
        <w:tc>
          <w:tcPr>
            <w:tcW w:w="205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C71831"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identificación de zonas vulnerables es básica, mostrando cierta capacidad para determinar áreas susceptibles a los riesgos de huracanes e inundaciones, pero con falta de detalle o precisión.</w:t>
            </w:r>
          </w:p>
        </w:tc>
        <w:tc>
          <w:tcPr>
            <w:tcW w:w="1790"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7F7D448"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identificación de zonas vulnerables es clara y precisa, mostrando una capacidad sólida para determinar áreas susceptibles a los riesgos de huracanes e inundaciones.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97CF1B"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identificación de zonas vulnerables es muy clara y detallada, demostrando una capacidad completa para determinar áreas susceptibles a los riesgos de huracanes e inundaciones.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FF12FE0"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identificación de zonas vulnerables es excepcional, mostrando un criterio experto y sofisticado para determinar áreas susceptibles a los riesgos de huracanes e inundaciones.</w:t>
            </w:r>
          </w:p>
        </w:tc>
      </w:tr>
      <w:tr w:rsidR="003B0145" w:rsidRPr="003B0145" w14:paraId="18BB4713" w14:textId="77777777" w:rsidTr="003B0145">
        <w:trPr>
          <w:trHeight w:val="193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748F30"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Presentación visual y 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A5EF97"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presentación visual y organización del mapa es confusa o desordenada, dificultando la comprensión de la información presentada sobre las zonas de riesgo.</w:t>
            </w:r>
          </w:p>
        </w:tc>
        <w:tc>
          <w:tcPr>
            <w:tcW w:w="205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E554D0"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presentación visual y organización del mapa es aceptable, pero puede haber falta de claridad en la representación de las zonas de riesgo o en la organización de la información.</w:t>
            </w:r>
          </w:p>
        </w:tc>
        <w:tc>
          <w:tcPr>
            <w:tcW w:w="1790"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F38B0E"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presentación visual y organización del mapa es clara y ordenada, facilitando la comprensión de la información sobre las zonas de riesgo.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2A433F"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presentación visual y organización del mapa es muy clara y efectiva, destacando de manera precisa las zonas de riesgo y la información relevante.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8629358"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presentación visual y organización del mapa es excelente, mostrando un diseño creativo y atractivo, con una representación impecable de las zonas de riesgo y una organización meticulosa de la información.</w:t>
            </w:r>
          </w:p>
        </w:tc>
      </w:tr>
      <w:tr w:rsidR="003B0145" w:rsidRPr="003B0145" w14:paraId="76851137" w14:textId="77777777" w:rsidTr="003B0145">
        <w:trPr>
          <w:trHeight w:val="193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A26EE7"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Profundidad del análisis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858D4D"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las zonas de riesgo es superficial o incompleto, mostrando falta de detalle en la comprensión de los factores que contribuyen a la vulnerabilidad.</w:t>
            </w:r>
          </w:p>
        </w:tc>
        <w:tc>
          <w:tcPr>
            <w:tcW w:w="205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8AA6B4"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las zonas de riesgo es básico, ofreciendo una visión limitada o simplificada de los factores que contribuyen a la vulnerabilidad.</w:t>
            </w:r>
          </w:p>
        </w:tc>
        <w:tc>
          <w:tcPr>
            <w:tcW w:w="1790"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2A182A"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las zonas de riesgo es bueno, mostrando una comprensión y análisis adecuado de los factores que contribuyen a la vulnerabilidad.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EDD5C2"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las zonas de riesgo es muy bueno, mostrando una comprensión profunda y un análisis detallado de los factores que contribuyen a la vulnerabilidad.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52E266E"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El análisis de las zonas de riesgo es excelente, mostrando un análisis excepcionalmente profundo y detallado de los factores que contribuyen a la vulnerabilidad.</w:t>
            </w:r>
          </w:p>
        </w:tc>
      </w:tr>
      <w:tr w:rsidR="003B0145" w:rsidRPr="003B0145" w14:paraId="3E05611B" w14:textId="77777777" w:rsidTr="003B0145">
        <w:trPr>
          <w:trHeight w:val="193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F26137"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Utilización de datos e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2886D19"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utilización de datos e información es limitada o inexacta, mostrando falta de respaldo para las conclusiones presentadas sobre las zonas de riesgo.</w:t>
            </w:r>
          </w:p>
        </w:tc>
        <w:tc>
          <w:tcPr>
            <w:tcW w:w="205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CE2410"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utilización de datos e información es básica, mostrando cierto respaldo para las conclusiones presentadas sobre las zonas de riesgo, pero con falta de profundidad en el análisis.</w:t>
            </w:r>
          </w:p>
        </w:tc>
        <w:tc>
          <w:tcPr>
            <w:tcW w:w="1790"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D4A3454"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utilización de datos e información es adecuada, respaldando de manera sólida las conclusiones presentadas sobre las zonas de riesgo.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C67566"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utilización de datos e información es muy buena, respaldando de manera completa y detallada las conclusiones presentadas sobre las zonas de riesgo.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2929FB3" w14:textId="77777777" w:rsidR="003B0145" w:rsidRPr="003B0145" w:rsidRDefault="003B0145" w:rsidP="003B0145">
            <w:pPr>
              <w:spacing w:after="0" w:line="240" w:lineRule="auto"/>
              <w:rPr>
                <w:rFonts w:ascii="Segoe UI" w:eastAsia="Times New Roman" w:hAnsi="Segoe UI" w:cs="Segoe UI"/>
                <w:color w:val="0D0D0D"/>
                <w:sz w:val="18"/>
                <w:szCs w:val="18"/>
                <w:lang w:eastAsia="es-MX"/>
              </w:rPr>
            </w:pPr>
            <w:r w:rsidRPr="003B0145">
              <w:rPr>
                <w:rFonts w:ascii="Segoe UI" w:eastAsia="Times New Roman" w:hAnsi="Segoe UI" w:cs="Segoe UI"/>
                <w:color w:val="0D0D0D"/>
                <w:sz w:val="18"/>
                <w:szCs w:val="18"/>
                <w:bdr w:val="single" w:sz="2" w:space="0" w:color="E3E3E3" w:frame="1"/>
                <w:lang w:eastAsia="es-MX"/>
              </w:rPr>
              <w:t>La utilización de datos e información es excelente, respaldando de manera excepcional las conclusiones presentadas sobre las zonas de riesgo con un análisis riguroso y detallado.</w:t>
            </w:r>
          </w:p>
        </w:tc>
      </w:tr>
    </w:tbl>
    <w:p w14:paraId="435BCD4F" w14:textId="213FF773" w:rsidR="006D1570" w:rsidRDefault="006D1570"/>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18"/>
        <w:gridCol w:w="1024"/>
        <w:gridCol w:w="2573"/>
        <w:gridCol w:w="1465"/>
      </w:tblGrid>
      <w:tr w:rsidR="003B0145" w:rsidRPr="003B0145" w14:paraId="13BFD7EB" w14:textId="77777777" w:rsidTr="003B014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74E6EE0" w14:textId="77777777" w:rsidR="003B0145" w:rsidRPr="003B0145" w:rsidRDefault="003B0145" w:rsidP="003B0145">
            <w:pPr>
              <w:spacing w:after="0" w:line="240" w:lineRule="auto"/>
              <w:jc w:val="center"/>
              <w:rPr>
                <w:rFonts w:ascii="Segoe UI" w:eastAsia="Times New Roman" w:hAnsi="Segoe UI" w:cs="Segoe UI"/>
                <w:b/>
                <w:bCs/>
                <w:color w:val="0D0D0D"/>
                <w:sz w:val="21"/>
                <w:szCs w:val="21"/>
                <w:lang w:eastAsia="es-MX"/>
              </w:rPr>
            </w:pPr>
            <w:r w:rsidRPr="003B0145">
              <w:rPr>
                <w:rFonts w:ascii="Segoe UI" w:eastAsia="Times New Roman" w:hAnsi="Segoe UI" w:cs="Segoe UI"/>
                <w:b/>
                <w:bCs/>
                <w:color w:val="0D0D0D"/>
                <w:sz w:val="21"/>
                <w:szCs w:val="21"/>
                <w:bdr w:val="single" w:sz="2" w:space="0" w:color="E3E3E3" w:frame="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7008063" w14:textId="77777777" w:rsidR="003B0145" w:rsidRPr="003B0145" w:rsidRDefault="003B0145" w:rsidP="003B0145">
            <w:pPr>
              <w:spacing w:after="0" w:line="240" w:lineRule="auto"/>
              <w:jc w:val="center"/>
              <w:rPr>
                <w:rFonts w:ascii="Segoe UI" w:eastAsia="Times New Roman" w:hAnsi="Segoe UI" w:cs="Segoe UI"/>
                <w:b/>
                <w:bCs/>
                <w:color w:val="0D0D0D"/>
                <w:sz w:val="21"/>
                <w:szCs w:val="21"/>
                <w:lang w:eastAsia="es-MX"/>
              </w:rPr>
            </w:pPr>
            <w:r w:rsidRPr="003B0145">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94A16EE" w14:textId="77777777" w:rsidR="003B0145" w:rsidRPr="003B0145" w:rsidRDefault="003B0145" w:rsidP="003B0145">
            <w:pPr>
              <w:spacing w:after="0" w:line="240" w:lineRule="auto"/>
              <w:jc w:val="center"/>
              <w:rPr>
                <w:rFonts w:ascii="Segoe UI" w:eastAsia="Times New Roman" w:hAnsi="Segoe UI" w:cs="Segoe UI"/>
                <w:b/>
                <w:bCs/>
                <w:color w:val="0D0D0D"/>
                <w:sz w:val="21"/>
                <w:szCs w:val="21"/>
                <w:lang w:eastAsia="es-MX"/>
              </w:rPr>
            </w:pPr>
            <w:r w:rsidRPr="003B0145">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A5E6E71" w14:textId="77777777" w:rsidR="003B0145" w:rsidRPr="003B0145" w:rsidRDefault="003B0145" w:rsidP="003B0145">
            <w:pPr>
              <w:spacing w:after="0" w:line="240" w:lineRule="auto"/>
              <w:jc w:val="center"/>
              <w:rPr>
                <w:rFonts w:ascii="Segoe UI" w:eastAsia="Times New Roman" w:hAnsi="Segoe UI" w:cs="Segoe UI"/>
                <w:b/>
                <w:bCs/>
                <w:color w:val="0D0D0D"/>
                <w:sz w:val="21"/>
                <w:szCs w:val="21"/>
                <w:lang w:eastAsia="es-MX"/>
              </w:rPr>
            </w:pPr>
            <w:r w:rsidRPr="003B0145">
              <w:rPr>
                <w:rFonts w:ascii="Segoe UI" w:eastAsia="Times New Roman" w:hAnsi="Segoe UI" w:cs="Segoe UI"/>
                <w:b/>
                <w:bCs/>
                <w:color w:val="0D0D0D"/>
                <w:sz w:val="21"/>
                <w:szCs w:val="21"/>
                <w:bdr w:val="single" w:sz="2" w:space="0" w:color="E3E3E3" w:frame="1"/>
                <w:lang w:eastAsia="es-MX"/>
              </w:rPr>
              <w:t>No Cumplir</w:t>
            </w:r>
          </w:p>
        </w:tc>
      </w:tr>
      <w:tr w:rsidR="003B0145" w:rsidRPr="003B0145" w14:paraId="15134035" w14:textId="77777777" w:rsidTr="006243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1CB1761"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1. Análisis de la distribución de aguas oceánicas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74CC93E" w14:textId="60C650A6"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7D123AB" w14:textId="25EE22C9"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D523049" w14:textId="45C5EC23" w:rsidR="003B0145" w:rsidRPr="003B0145" w:rsidRDefault="003B0145" w:rsidP="003B0145">
            <w:pPr>
              <w:spacing w:after="0" w:line="240" w:lineRule="auto"/>
              <w:rPr>
                <w:rFonts w:ascii="Segoe UI" w:eastAsia="Times New Roman" w:hAnsi="Segoe UI" w:cs="Segoe UI"/>
                <w:color w:val="0D0D0D"/>
                <w:sz w:val="21"/>
                <w:szCs w:val="21"/>
                <w:lang w:eastAsia="es-MX"/>
              </w:rPr>
            </w:pPr>
          </w:p>
        </w:tc>
      </w:tr>
      <w:tr w:rsidR="003B0145" w:rsidRPr="003B0145" w14:paraId="14B4EEE2" w14:textId="77777777" w:rsidTr="006243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92E302"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2. Análisis de la distribución de la población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41B8E95" w14:textId="75F3E98C"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039AF37" w14:textId="2953889C"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0039697" w14:textId="5500C2F2" w:rsidR="003B0145" w:rsidRPr="003B0145" w:rsidRDefault="003B0145" w:rsidP="003B0145">
            <w:pPr>
              <w:spacing w:after="0" w:line="240" w:lineRule="auto"/>
              <w:rPr>
                <w:rFonts w:ascii="Segoe UI" w:eastAsia="Times New Roman" w:hAnsi="Segoe UI" w:cs="Segoe UI"/>
                <w:color w:val="0D0D0D"/>
                <w:sz w:val="21"/>
                <w:szCs w:val="21"/>
                <w:lang w:eastAsia="es-MX"/>
              </w:rPr>
            </w:pPr>
          </w:p>
        </w:tc>
      </w:tr>
      <w:tr w:rsidR="003B0145" w:rsidRPr="003B0145" w14:paraId="7ABD80D4" w14:textId="77777777" w:rsidTr="006243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3D0746"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3. Identificación de zonas vulnerables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C4D0AF4" w14:textId="04ACA01E"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2AA1CAA" w14:textId="6D875166"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31A806D" w14:textId="19439BA7" w:rsidR="003B0145" w:rsidRPr="003B0145" w:rsidRDefault="003B0145" w:rsidP="003B0145">
            <w:pPr>
              <w:spacing w:after="0" w:line="240" w:lineRule="auto"/>
              <w:rPr>
                <w:rFonts w:ascii="Segoe UI" w:eastAsia="Times New Roman" w:hAnsi="Segoe UI" w:cs="Segoe UI"/>
                <w:color w:val="0D0D0D"/>
                <w:sz w:val="21"/>
                <w:szCs w:val="21"/>
                <w:lang w:eastAsia="es-MX"/>
              </w:rPr>
            </w:pPr>
          </w:p>
        </w:tc>
      </w:tr>
      <w:tr w:rsidR="003B0145" w:rsidRPr="003B0145" w14:paraId="11770FE4" w14:textId="77777777" w:rsidTr="006243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043DCD"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4. Claridad en la presentación del mapa.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4C3B3D1" w14:textId="7B4AA03A"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2D64AAB" w14:textId="78F1B9BE"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1FB519F" w14:textId="51B7120F" w:rsidR="003B0145" w:rsidRPr="003B0145" w:rsidRDefault="003B0145" w:rsidP="003B0145">
            <w:pPr>
              <w:spacing w:after="0" w:line="240" w:lineRule="auto"/>
              <w:rPr>
                <w:rFonts w:ascii="Segoe UI" w:eastAsia="Times New Roman" w:hAnsi="Segoe UI" w:cs="Segoe UI"/>
                <w:color w:val="0D0D0D"/>
                <w:sz w:val="21"/>
                <w:szCs w:val="21"/>
                <w:lang w:eastAsia="es-MX"/>
              </w:rPr>
            </w:pPr>
          </w:p>
        </w:tc>
      </w:tr>
      <w:tr w:rsidR="003B0145" w:rsidRPr="003B0145" w14:paraId="3DB54DF4" w14:textId="77777777" w:rsidTr="006243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A94A1D"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5. Coherencia en la representación de los datos.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C8CFB6C" w14:textId="6C6FA4C8"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796439E" w14:textId="1211891E" w:rsidR="003B0145" w:rsidRPr="003B0145" w:rsidRDefault="003B0145" w:rsidP="003B014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AACAEA9" w14:textId="773CB2B8" w:rsidR="003B0145" w:rsidRPr="003B0145" w:rsidRDefault="003B0145" w:rsidP="003B0145">
            <w:pPr>
              <w:spacing w:after="0" w:line="240" w:lineRule="auto"/>
              <w:rPr>
                <w:rFonts w:ascii="Segoe UI" w:eastAsia="Times New Roman" w:hAnsi="Segoe UI" w:cs="Segoe UI"/>
                <w:color w:val="0D0D0D"/>
                <w:sz w:val="21"/>
                <w:szCs w:val="21"/>
                <w:lang w:eastAsia="es-MX"/>
              </w:rPr>
            </w:pPr>
          </w:p>
        </w:tc>
      </w:tr>
    </w:tbl>
    <w:p w14:paraId="2E04B81E" w14:textId="77777777" w:rsidR="003B0145" w:rsidRDefault="003B014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70"/>
        <w:gridCol w:w="8010"/>
      </w:tblGrid>
      <w:tr w:rsidR="003B0145" w:rsidRPr="003B0145" w14:paraId="36FD0FF8" w14:textId="77777777" w:rsidTr="003B014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51B4E71" w14:textId="77777777" w:rsidR="003B0145" w:rsidRPr="003B0145" w:rsidRDefault="003B0145" w:rsidP="003B0145">
            <w:pPr>
              <w:spacing w:after="0" w:line="240" w:lineRule="auto"/>
              <w:jc w:val="center"/>
              <w:rPr>
                <w:rFonts w:ascii="Segoe UI" w:eastAsia="Times New Roman" w:hAnsi="Segoe UI" w:cs="Segoe UI"/>
                <w:b/>
                <w:bCs/>
                <w:color w:val="0D0D0D"/>
                <w:sz w:val="21"/>
                <w:szCs w:val="21"/>
                <w:lang w:eastAsia="es-MX"/>
              </w:rPr>
            </w:pPr>
            <w:r w:rsidRPr="003B0145">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39CF203" w14:textId="77777777" w:rsidR="003B0145" w:rsidRPr="003B0145" w:rsidRDefault="003B0145" w:rsidP="003B0145">
            <w:pPr>
              <w:spacing w:after="0" w:line="240" w:lineRule="auto"/>
              <w:jc w:val="center"/>
              <w:rPr>
                <w:rFonts w:ascii="Segoe UI" w:eastAsia="Times New Roman" w:hAnsi="Segoe UI" w:cs="Segoe UI"/>
                <w:b/>
                <w:bCs/>
                <w:color w:val="0D0D0D"/>
                <w:sz w:val="21"/>
                <w:szCs w:val="21"/>
                <w:lang w:eastAsia="es-MX"/>
              </w:rPr>
            </w:pPr>
            <w:r w:rsidRPr="003B0145">
              <w:rPr>
                <w:rFonts w:ascii="Segoe UI" w:eastAsia="Times New Roman" w:hAnsi="Segoe UI" w:cs="Segoe UI"/>
                <w:b/>
                <w:bCs/>
                <w:color w:val="0D0D0D"/>
                <w:sz w:val="21"/>
                <w:szCs w:val="21"/>
                <w:bdr w:val="single" w:sz="2" w:space="0" w:color="E3E3E3" w:frame="1"/>
                <w:lang w:eastAsia="es-MX"/>
              </w:rPr>
              <w:t>Descripción</w:t>
            </w:r>
          </w:p>
        </w:tc>
      </w:tr>
      <w:tr w:rsidR="003B0145" w:rsidRPr="003B0145" w14:paraId="773054CF" w14:textId="77777777" w:rsidTr="003B014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5A5D62"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1. Análisis de la distribución de aguas oceánicas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6BD4C99"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Evalúa si el mapa presenta un análisis claro y detallado de la distribución de aguas oceánicas en México, identificando áreas susceptibles a huracanes e inundaciones.</w:t>
            </w:r>
          </w:p>
        </w:tc>
      </w:tr>
      <w:tr w:rsidR="003B0145" w:rsidRPr="003B0145" w14:paraId="76B1550A" w14:textId="77777777" w:rsidTr="003B014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4327121"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2. Análisis de la distribución de la población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E2AB010"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Verifica si el mapa incluye un análisis de la distribución de la población en relación con las zonas de riesgo identificadas, mostrando cómo la población se encuentra ubicada en áreas vulnerables y potencialmente afectadas por desastres naturales.</w:t>
            </w:r>
          </w:p>
        </w:tc>
      </w:tr>
      <w:tr w:rsidR="003B0145" w:rsidRPr="003B0145" w14:paraId="79D2AAB1" w14:textId="77777777" w:rsidTr="003B014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184AF6"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3. Identificación de zonas vulnerables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B006941"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Observa si el mapa identifica claramente las zonas vulnerables a huracanes e inundaciones, resaltando aquellas áreas con mayor riesgo y proporcionando información relevante sobre la vulnerabilidad de la población que vive en esas áreas.</w:t>
            </w:r>
          </w:p>
        </w:tc>
      </w:tr>
      <w:tr w:rsidR="003B0145" w:rsidRPr="003B0145" w14:paraId="107E29AF" w14:textId="77777777" w:rsidTr="003B014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EB3E77"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4. Claridad en la presentación del mapa.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8C81FF0"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Se evalúa si la presentación del mapa es clara y fácil de entender, utilizando colores, leyendas y otros elementos visuales de manera efectiva para transmitir la información sobre las zonas de riesgo y la distribución de la población de forma comprensible.</w:t>
            </w:r>
          </w:p>
        </w:tc>
      </w:tr>
      <w:tr w:rsidR="003B0145" w:rsidRPr="003B0145" w14:paraId="3734A256" w14:textId="77777777" w:rsidTr="003B014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311DCD7"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5. Coherencia en la representación de los datos.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F51FBC5" w14:textId="77777777" w:rsidR="003B0145" w:rsidRPr="003B0145" w:rsidRDefault="003B0145" w:rsidP="003B0145">
            <w:pPr>
              <w:spacing w:after="0" w:line="240" w:lineRule="auto"/>
              <w:rPr>
                <w:rFonts w:ascii="Segoe UI" w:eastAsia="Times New Roman" w:hAnsi="Segoe UI" w:cs="Segoe UI"/>
                <w:color w:val="0D0D0D"/>
                <w:sz w:val="21"/>
                <w:szCs w:val="21"/>
                <w:lang w:eastAsia="es-MX"/>
              </w:rPr>
            </w:pPr>
            <w:r w:rsidRPr="003B0145">
              <w:rPr>
                <w:rFonts w:ascii="Segoe UI" w:eastAsia="Times New Roman" w:hAnsi="Segoe UI" w:cs="Segoe UI"/>
                <w:color w:val="0D0D0D"/>
                <w:sz w:val="21"/>
                <w:szCs w:val="21"/>
                <w:bdr w:val="single" w:sz="2" w:space="0" w:color="E3E3E3" w:frame="1"/>
                <w:lang w:eastAsia="es-MX"/>
              </w:rPr>
              <w:t>Examina si la representación de los datos en el mapa es coherente y precisa, asegurando que la información presentada refleja de manera fiel la distribución de aguas oceánicas, la densidad de población y la vulnerabilidad de las zonas identificadas.</w:t>
            </w:r>
          </w:p>
        </w:tc>
      </w:tr>
    </w:tbl>
    <w:p w14:paraId="4EDB6D96" w14:textId="77777777" w:rsidR="00EE7AD5" w:rsidRDefault="00EE7AD5"/>
    <w:p w14:paraId="00434C27" w14:textId="77777777" w:rsidR="00425437" w:rsidRDefault="00425437"/>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1BD7533F" w14:textId="77777777" w:rsidR="00C535BC" w:rsidRPr="00C535BC" w:rsidRDefault="00C535BC" w:rsidP="00C535BC"/>
    <w:sectPr w:rsidR="00C535BC" w:rsidRPr="00C535BC"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1436D7" w14:textId="77777777" w:rsidR="00E61888" w:rsidRDefault="00E61888" w:rsidP="005B7AE6">
      <w:pPr>
        <w:spacing w:after="0" w:line="240" w:lineRule="auto"/>
      </w:pPr>
      <w:r>
        <w:separator/>
      </w:r>
    </w:p>
  </w:endnote>
  <w:endnote w:type="continuationSeparator" w:id="0">
    <w:p w14:paraId="4453803C" w14:textId="77777777" w:rsidR="00E61888" w:rsidRDefault="00E61888"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168B33" w14:textId="77777777" w:rsidR="00E61888" w:rsidRDefault="00E61888" w:rsidP="005B7AE6">
      <w:pPr>
        <w:spacing w:after="0" w:line="240" w:lineRule="auto"/>
      </w:pPr>
      <w:r>
        <w:separator/>
      </w:r>
    </w:p>
  </w:footnote>
  <w:footnote w:type="continuationSeparator" w:id="0">
    <w:p w14:paraId="3A78186F" w14:textId="77777777" w:rsidR="00E61888" w:rsidRDefault="00E61888"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0043FAFD"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902E78">
      <w:rPr>
        <w:rFonts w:ascii="Britannic Bold" w:hAnsi="Britannic Bold"/>
        <w:sz w:val="40"/>
        <w:szCs w:val="40"/>
      </w:rPr>
      <w:t>4</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2E6891C2"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902E78">
      <w:rPr>
        <w:rFonts w:ascii="Britannic Bold" w:hAnsi="Britannic Bold"/>
        <w:sz w:val="40"/>
        <w:szCs w:val="40"/>
      </w:rPr>
      <w:t>4</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B0145"/>
    <w:rsid w:val="003D5B84"/>
    <w:rsid w:val="00425437"/>
    <w:rsid w:val="00440B1F"/>
    <w:rsid w:val="0048563B"/>
    <w:rsid w:val="004C7B08"/>
    <w:rsid w:val="005579E1"/>
    <w:rsid w:val="005B7AE6"/>
    <w:rsid w:val="006659A1"/>
    <w:rsid w:val="006D1570"/>
    <w:rsid w:val="00706512"/>
    <w:rsid w:val="00713ADF"/>
    <w:rsid w:val="007B5A6A"/>
    <w:rsid w:val="00801CFF"/>
    <w:rsid w:val="00824A0F"/>
    <w:rsid w:val="00837C80"/>
    <w:rsid w:val="00872C4C"/>
    <w:rsid w:val="0088559C"/>
    <w:rsid w:val="008E6973"/>
    <w:rsid w:val="008F1D3F"/>
    <w:rsid w:val="00902E78"/>
    <w:rsid w:val="00920DA1"/>
    <w:rsid w:val="009237D4"/>
    <w:rsid w:val="00954CBD"/>
    <w:rsid w:val="00966375"/>
    <w:rsid w:val="009713D7"/>
    <w:rsid w:val="009951CC"/>
    <w:rsid w:val="00A33D9B"/>
    <w:rsid w:val="00A535F2"/>
    <w:rsid w:val="00A5699A"/>
    <w:rsid w:val="00AB2969"/>
    <w:rsid w:val="00AB4B4D"/>
    <w:rsid w:val="00C535BC"/>
    <w:rsid w:val="00C67AA7"/>
    <w:rsid w:val="00C81216"/>
    <w:rsid w:val="00CF75AF"/>
    <w:rsid w:val="00D55E64"/>
    <w:rsid w:val="00DC0EB9"/>
    <w:rsid w:val="00DF7247"/>
    <w:rsid w:val="00E03122"/>
    <w:rsid w:val="00E61888"/>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503272">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41249732">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1433079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10455188">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970</Words>
  <Characters>5335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2024-04-17T17:23:00Z</dcterms:modified>
</cp:coreProperties>
</file>