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21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849"/>
        <w:gridCol w:w="1913"/>
        <w:gridCol w:w="1970"/>
        <w:gridCol w:w="2052"/>
        <w:gridCol w:w="2327"/>
      </w:tblGrid>
      <w:tr w:rsidR="00592C13" w:rsidRPr="00592C13" w14:paraId="45E9C3AF" w14:textId="77777777" w:rsidTr="00592C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86E84F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8B170A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FF832C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57ECBA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2168D3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BF248B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592C13" w:rsidRPr="00592C13" w14:paraId="712FD113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04EC96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F5126E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carece de contenido relevante y significativo sobre el uso, construcción e innovación de herramientas locales. Las experiencias presentadas son superficiales y no aportan valor.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D0DAEE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presenta cierto contenido relevante sobre el uso, construcción e innovación de herramientas locales, pero la información es limitada y podría ser más completa. Las experiencias presentadas son parciales y tienen margen de mejora.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6BB58D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contiene información relevante y significativa sobre el uso, construcción e innovación de herramientas locales. Las experiencias presentadas son interesantes y ofrecen una visión general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20BAF0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presenta una amplia gama de información relevante y significativa sobre el uso, construcción e innovación de herramientas locales. Las experiencias presentadas son detalladas y enriquecedoras, proporcionando una comprensión profunda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B0656D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presenta una cantidad excepcional de información relevante y significativa sobre el uso, construcción e innovación de herramientas locales. Las experiencias presentadas son exhaustivas y están respaldadas por evidencia sólida, ofreciendo una perspectiva completa y detallada del tema.</w:t>
            </w:r>
          </w:p>
        </w:tc>
      </w:tr>
      <w:tr w:rsidR="00592C13" w:rsidRPr="00592C13" w14:paraId="3DF8F044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74B4DF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4BA94C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coloquio es confusa y desorganizada. Las presentaciones carecen de fluidez y cohesión, dificultando la comprensión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AAC418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coloquio es aceptable, pero podría mejorar en términos de organización y fluidez. Algunas transiciones entre presentaciones son abruptas y la cohesión general del evento es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318D62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coloquio es clara y bien organizada. Las presentaciones fluyen de manera lógica y coherente, facilitando la comprensión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09B913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coloquio es muy buena. Las presentaciones están bien organizadas y las transiciones entre ellas son suaves y naturales, lo que permite una experiencia fluida para 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0DEAE3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coloquio es excelente. Las presentaciones están perfectamente organizadas y la fluidez entre ellas es impecable, creando una experiencia cohesiva y envolvente para el público.</w:t>
            </w:r>
          </w:p>
        </w:tc>
      </w:tr>
      <w:tr w:rsidR="00592C13" w:rsidRPr="00592C13" w14:paraId="559D866D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262677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9E5AD3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ponentes y el público es limitada o poco relevante para el tema del coloquio. No se fomentará el intercambio de ideas ni el debate constructivo.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0F4850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ponentes y el público es adecuada, pero podría ser más activa y centrada en el tema del coloquio. Se observan algunos intentos de intercambio de ideas, pero el debate es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5601F9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ponentes y el público es buena. Se fomenta el intercambio de ideas y el debate constructivo sobre el tema del coloquio, enriqueciendo la experiencia para todos los involucrados.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96904B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ponentes y el público es muy buena. Se genera un diálogo activo y enriquecedor que profundiza en el tema del coloquio y promueve la reflexión crítica.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2A30C4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ponentes y del público es excelente. Se facilita un debate dinámico y profundo que permite explorar diversas perspectivas sobre el tema del coloquio y generar nuevas ideas y soluciones.</w:t>
            </w:r>
          </w:p>
        </w:tc>
      </w:tr>
      <w:tr w:rsidR="00592C13" w:rsidRPr="00592C13" w14:paraId="01FD7418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3AE3EC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Calidad de las Presentaciones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468823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presentaciones son poco claras y poco convincentes. La información se presenta de manera desordenada y sin cohesión, lo que dificulta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E1716B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presentaciones son aceptables, pero podrían mejorar en términos de claridad y persuasión. La información se presenta de manera coherente, pero la entrega es poco dinámica y carece de impacto.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C8F362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presentaciones son claras y convincentes. La información se presenta de manera estructurada y fácil de seguir, captando la atención del público y manteniendo su interés.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2DC474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presentaciones son muy claras y persuasivas. La información se presenta de manera dinámica y cautivadora, involucrando al público y generando un impacto significativo.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D66569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presentaciones son excepcionalmente claras y persuasivas. La información se presenta con maestría y pasión, cautivando por completo al público y dejando una impresión duradera.</w:t>
            </w:r>
          </w:p>
        </w:tc>
      </w:tr>
      <w:tr w:rsidR="00592C13" w:rsidRPr="00592C13" w14:paraId="7E134596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5B7570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Impacto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B536CA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no logra generar un impacto significativo ni dejar una impresión duradera en el público. La relevancia del tema no se destaca y no se evidencia un cambio en la percepción o el conocimiento de los participantes.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03998E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genera cierto impacto, pero es limitado en alcance y profundidad. Se evidencia un nivel de sensibilización sobre el tema, pero no se produce un cambio significativo en la percepción o el conocimiento de los participantes.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26C2F0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tiene un impacto positivo en el público, sensibilizándolo sobre la importancia del uso, construcción e innovación de herramientas locales. Se evidencia un cambio perceptible en la percepción o el conocimiento de los participantes.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114FAC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tiene un impacto notable en el público, generando una reflexión profunda sobre el tema y promoviendo cambios significativos en la percepción y el conocimiento de los participantes.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2A5533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coloquio tiene un impacto excepcional en el público, inspirando acciones concretas y promoviendo un compromiso activo con el uso, construcción e innovación de herramientas locales. Se evidencia un cambio transformador en la percepción y el conocimiento de los participantes.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9"/>
        <w:gridCol w:w="982"/>
        <w:gridCol w:w="2464"/>
        <w:gridCol w:w="1405"/>
      </w:tblGrid>
      <w:tr w:rsidR="00592C13" w:rsidRPr="00592C13" w14:paraId="5E06D4E8" w14:textId="77777777" w:rsidTr="00592C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335365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13544E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963609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A3E14B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92C13" w:rsidRPr="00592C13" w14:paraId="46C7557E" w14:textId="77777777" w:rsidTr="008C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22C03E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Participación activa de los miembros del coloquio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35DCF2" w14:textId="165C987E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6A0242" w14:textId="63064CB6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9E58FB9" w14:textId="447103E9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92C13" w:rsidRPr="00592C13" w14:paraId="4FD282BD" w14:textId="77777777" w:rsidTr="008C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279FD5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Presentación clara de herramientas locales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2B9F25" w14:textId="784FCD7A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B853671" w14:textId="288ACB7D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0866B63" w14:textId="3EAFEAEB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92C13" w:rsidRPr="00592C13" w14:paraId="39DD5DC8" w14:textId="77777777" w:rsidTr="008C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EE7B54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Ejemplos concretos de aplicación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CFE2A39" w14:textId="6FAD5226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DA684FB" w14:textId="6735708A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8485478" w14:textId="7DD41B13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92C13" w:rsidRPr="00592C13" w14:paraId="4AD8D73B" w14:textId="77777777" w:rsidTr="008C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63817E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Reflexión sobre la eficacia de las herramientas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6BB5B0" w14:textId="082B5E5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F25DE9B" w14:textId="02CEDAEB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AD9A698" w14:textId="4D1FA2B6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92C13" w:rsidRPr="00592C13" w14:paraId="4234777B" w14:textId="77777777" w:rsidTr="008C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C5CD3E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Propuestas de mejora o innovación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E5FC96B" w14:textId="54B11C65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BEFE7C" w14:textId="299B4349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935DB8D" w14:textId="51B1EEDE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7558"/>
      </w:tblGrid>
      <w:tr w:rsidR="00592C13" w:rsidRPr="00592C13" w14:paraId="29824DED" w14:textId="77777777" w:rsidTr="00592C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A33B98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3208A3" w14:textId="77777777" w:rsidR="00592C13" w:rsidRPr="00592C13" w:rsidRDefault="00592C13" w:rsidP="00592C1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92C13" w:rsidRPr="00592C13" w14:paraId="19D62A6A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F4487B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Participación activa de los miembros del coloquio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8D3FD1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participantes del coloquio se involucran activamente en la discusión y contribuyen con sus experiencias y conocimientos al intercambio de ideas.</w:t>
            </w:r>
          </w:p>
        </w:tc>
      </w:tr>
      <w:tr w:rsidR="00592C13" w:rsidRPr="00592C13" w14:paraId="2F704040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25F727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Presentación clara de herramientas locales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877A6B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las herramientas locales son presentadas de manera clara y comprensible, permitiendo a los asistentes entender su uso y aplicabilidad en situaciones cotidianas.</w:t>
            </w:r>
          </w:p>
        </w:tc>
      </w:tr>
      <w:tr w:rsidR="00592C13" w:rsidRPr="00592C13" w14:paraId="50BD1C46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5DA7F4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Ejemplos concretos de aplicación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00E0CF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proporciona ejemplos concretos de cómo las herramientas locales han sido utilizadas o pueden ser aplicadas en contextos reales.</w:t>
            </w:r>
          </w:p>
        </w:tc>
      </w:tr>
      <w:tr w:rsidR="00592C13" w:rsidRPr="00592C13" w14:paraId="6ADB53B8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F27EB4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Reflexión sobre la eficacia de las herramientas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F367A0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realiza una reflexión sobre la eficacia de las herramientas presentadas, discutiendo su utilidad y posibles limitaciones en diferentes escenarios.</w:t>
            </w:r>
          </w:p>
        </w:tc>
      </w:tr>
      <w:tr w:rsidR="00592C13" w:rsidRPr="00592C13" w14:paraId="7F44F2D6" w14:textId="77777777" w:rsidTr="00592C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27AE94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Propuestas de mejora o innovación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6163F8" w14:textId="77777777" w:rsidR="00592C13" w:rsidRPr="00592C13" w:rsidRDefault="00592C13" w:rsidP="00592C1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2C1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propone ideas para mejorar o innovar en las herramientas locales existentes, fomentando así la creatividad y el desarrollo de nuevas soluciones.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09859F" w14:textId="77777777" w:rsidR="0074423D" w:rsidRDefault="0074423D" w:rsidP="005B7AE6">
      <w:pPr>
        <w:spacing w:after="0" w:line="240" w:lineRule="auto"/>
      </w:pPr>
      <w:r>
        <w:separator/>
      </w:r>
    </w:p>
  </w:endnote>
  <w:endnote w:type="continuationSeparator" w:id="0">
    <w:p w14:paraId="5C8980C1" w14:textId="77777777" w:rsidR="0074423D" w:rsidRDefault="0074423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67B31" w14:textId="77777777" w:rsidR="0074423D" w:rsidRDefault="0074423D" w:rsidP="005B7AE6">
      <w:pPr>
        <w:spacing w:after="0" w:line="240" w:lineRule="auto"/>
      </w:pPr>
      <w:r>
        <w:separator/>
      </w:r>
    </w:p>
  </w:footnote>
  <w:footnote w:type="continuationSeparator" w:id="0">
    <w:p w14:paraId="3021C234" w14:textId="77777777" w:rsidR="0074423D" w:rsidRDefault="0074423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7F11E23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592C13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677A969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592C13">
      <w:rPr>
        <w:rFonts w:ascii="Britannic Bold" w:hAnsi="Britannic Bold"/>
        <w:sz w:val="40"/>
        <w:szCs w:val="40"/>
      </w:rPr>
      <w:t>5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92C13"/>
    <w:rsid w:val="005B7AE6"/>
    <w:rsid w:val="006659A1"/>
    <w:rsid w:val="006D1570"/>
    <w:rsid w:val="00706512"/>
    <w:rsid w:val="00713ADF"/>
    <w:rsid w:val="0074423D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1016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2024-04-18T18:10:00Z</dcterms:modified>
</cp:coreProperties>
</file>