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95"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6"/>
        <w:gridCol w:w="1629"/>
        <w:gridCol w:w="2090"/>
        <w:gridCol w:w="1793"/>
        <w:gridCol w:w="1901"/>
        <w:gridCol w:w="2246"/>
      </w:tblGrid>
      <w:tr w:rsidR="00991CE5" w:rsidRPr="00991CE5" w14:paraId="243C61F6" w14:textId="77777777" w:rsidTr="00991CE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920B573"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6DDC9F5"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9972ED"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ADACD67"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706EA6B"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F5BEA68" w14:textId="77777777" w:rsidR="00991CE5" w:rsidRPr="00991CE5" w:rsidRDefault="00991CE5" w:rsidP="00991CE5">
            <w:pPr>
              <w:spacing w:after="0" w:line="240" w:lineRule="auto"/>
              <w:jc w:val="center"/>
              <w:rPr>
                <w:rFonts w:ascii="Segoe UI" w:eastAsia="Times New Roman" w:hAnsi="Segoe UI" w:cs="Segoe UI"/>
                <w:b/>
                <w:bCs/>
                <w:color w:val="0D0D0D"/>
                <w:sz w:val="18"/>
                <w:szCs w:val="18"/>
                <w:lang w:eastAsia="es-MX"/>
              </w:rPr>
            </w:pPr>
            <w:r w:rsidRPr="00991CE5">
              <w:rPr>
                <w:rFonts w:ascii="Segoe UI" w:eastAsia="Times New Roman" w:hAnsi="Segoe UI" w:cs="Segoe UI"/>
                <w:b/>
                <w:bCs/>
                <w:color w:val="0D0D0D"/>
                <w:sz w:val="18"/>
                <w:szCs w:val="18"/>
                <w:lang w:eastAsia="es-MX"/>
              </w:rPr>
              <w:t>Excelente</w:t>
            </w:r>
          </w:p>
        </w:tc>
      </w:tr>
      <w:tr w:rsidR="00991CE5" w:rsidRPr="00991CE5" w14:paraId="78A96384"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86ED77"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50B291"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confusas y poco claras. La información presentada no se entiende fácilmente debido a la falta de 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DF3154"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comprensibles, pero podrían ser más claras. Se necesita cierto esfuerzo para entender completamente la información 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743664"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claras y comprensibles. Es relativamente fácil entender la información presentada, aunque hay algunas áreas que podrían ser más claras.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5749C2"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muy claras y fácilmente comprensibles. Se comprende claramente la información presentada, con una organización adecuada y una presentación coherente.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1B5707F"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excepcionalmente claras y altamente comprensibles. No hay ambigüedad en cuanto a la información presentada. La presentación es altamente organizada y coherente.</w:t>
            </w:r>
          </w:p>
        </w:tc>
      </w:tr>
      <w:tr w:rsidR="00991CE5" w:rsidRPr="00991CE5" w14:paraId="6853A6E1"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5BC5AD"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Coherencia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BB4819"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está desordenada y no se relaciona entre sí. No hay una estructura clara que guíe al espectador a través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C9E783"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tiene cierta coherencia, pero la relación entre los diferentes elementos podría ser más clara. Se necesitaría un esfuerzo adicional para comprender completamente la relación entre la información presentada.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C34CF4"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está bien organizada y muestra una relación clara entre los diferentes elementos. La estructura general de las tarjetas es 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6C079A"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está muy bien organizada y muestra una relación clara y lógica entre los diferentes elementos. La estructura guía eficazmente al espectador a través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D6C8C6B"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está excepcionalmente bien organizada y muestra una relación clara, lógica y fluida entre los diferentes elementos. La estructura facilita una comprensión completa y rápida de la información.</w:t>
            </w:r>
          </w:p>
        </w:tc>
      </w:tr>
      <w:tr w:rsidR="00991CE5" w:rsidRPr="00991CE5" w14:paraId="7C63C03F"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3606EA"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B41E8A"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carecen de originalidad y se asemejan a otros trabajos.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0484BF"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muestran cierta originalidad, pero podrían ser más únicas en su enfoque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6593E5"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originales y únicas en su enfoque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E75916"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muy originales y únicas en su enfoque y presentación, destacándose por su creatividad y originalidad.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15170DE"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Las tarjetas dobles son excepcionalmente originales y únicas en su enfoque y presentación, mostrando una creatividad e innovación excepcionales.</w:t>
            </w:r>
          </w:p>
        </w:tc>
      </w:tr>
      <w:tr w:rsidR="00991CE5" w:rsidRPr="00991CE5" w14:paraId="68B65945"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D33BA8"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A45ECB"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presentada en las tarjetas dobles no está claramente relacionada con el tema o los elementos comparados.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D56584"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tiene cierta relevancia para el tema, pero algunos elementos podrían no estar directamente relacionados con los elementos comparados.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A455A4"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 relevante para el tema y muestra una clara relación con los elementos comparados.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764281"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 altamente relevante para el tema y está directamente relacionada con los elementos comparados.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2E2251A"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información en las tarjetas dobles es excepcionalmente relevante para el tema y demuestra una conexión clara y lógica con los elementos comparados.</w:t>
            </w:r>
          </w:p>
        </w:tc>
      </w:tr>
      <w:tr w:rsidR="00991CE5" w:rsidRPr="00991CE5" w14:paraId="57F0A7A4"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8B8B9A"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775D20"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presentación de las tarjetas dobles es desordenada y poco atractiva visualmente.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3C67B8"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presentación de las tarjetas dobles es aceptable, pero podría mejorar en términos de estética y diseño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63E88B"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presentación de las tarjetas dobles es buena y atractiva visualmente, con un diseño claro y agradable.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DCE926"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presentación de las tarjetas dobles es muy buena y altamente atractiva visualmente, con un diseño atractivo y llamativo que mejora la comprensión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CE929AD" w14:textId="77777777" w:rsidR="00991CE5" w:rsidRPr="00991CE5" w:rsidRDefault="00991CE5" w:rsidP="00991CE5">
            <w:pPr>
              <w:spacing w:after="0" w:line="240" w:lineRule="auto"/>
              <w:rPr>
                <w:rFonts w:ascii="Segoe UI" w:eastAsia="Times New Roman" w:hAnsi="Segoe UI" w:cs="Segoe UI"/>
                <w:color w:val="0D0D0D"/>
                <w:sz w:val="18"/>
                <w:szCs w:val="18"/>
                <w:lang w:eastAsia="es-MX"/>
              </w:rPr>
            </w:pPr>
            <w:r w:rsidRPr="00991CE5">
              <w:rPr>
                <w:rFonts w:ascii="Segoe UI" w:eastAsia="Times New Roman" w:hAnsi="Segoe UI" w:cs="Segoe UI"/>
                <w:color w:val="0D0D0D"/>
                <w:sz w:val="18"/>
                <w:szCs w:val="18"/>
                <w:lang w:eastAsia="es-MX"/>
              </w:rPr>
              <w:t>La presentación de las tarjetas dobles es excelente, con un diseño visualmente impactante que complementa y realza la comprensión de la información presentada.</w:t>
            </w:r>
          </w:p>
        </w:tc>
      </w:tr>
    </w:tbl>
    <w:p w14:paraId="435BCD4F" w14:textId="6A40B137" w:rsidR="006D1570" w:rsidRDefault="006D1570"/>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539"/>
        <w:gridCol w:w="954"/>
        <w:gridCol w:w="2500"/>
        <w:gridCol w:w="1387"/>
      </w:tblGrid>
      <w:tr w:rsidR="00991CE5" w:rsidRPr="00991CE5" w14:paraId="726FB5B4" w14:textId="77777777" w:rsidTr="00991CE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5306CB4"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DC72914"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C7FCF7D"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E47C57B"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No Cumple</w:t>
            </w:r>
          </w:p>
        </w:tc>
      </w:tr>
      <w:tr w:rsidR="00991CE5" w:rsidRPr="00991CE5" w14:paraId="22C9D0C8" w14:textId="77777777" w:rsidTr="0010505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9AB92B"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1. Formulación de hipótesis de parentesco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4BE8D59" w14:textId="3D8D191C"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D416A4B" w14:textId="516147AE"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197ACB8" w14:textId="2D74963F" w:rsidR="00991CE5" w:rsidRPr="00991CE5" w:rsidRDefault="00991CE5" w:rsidP="00991CE5">
            <w:pPr>
              <w:spacing w:after="0" w:line="240" w:lineRule="auto"/>
              <w:rPr>
                <w:rFonts w:ascii="Segoe UI" w:eastAsia="Times New Roman" w:hAnsi="Segoe UI" w:cs="Segoe UI"/>
                <w:color w:val="0D0D0D"/>
                <w:sz w:val="21"/>
                <w:szCs w:val="21"/>
                <w:lang w:eastAsia="es-MX"/>
              </w:rPr>
            </w:pPr>
          </w:p>
        </w:tc>
      </w:tr>
      <w:tr w:rsidR="00991CE5" w:rsidRPr="00991CE5" w14:paraId="37AD83DD" w14:textId="77777777" w:rsidTr="0010505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5B5C81"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2. Comparación de órganos análogos y homólogos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2F87E27" w14:textId="3AD31FEC"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0C8E56" w14:textId="125A31D8"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6BD4FDC" w14:textId="6CB4B7F0" w:rsidR="00991CE5" w:rsidRPr="00991CE5" w:rsidRDefault="00991CE5" w:rsidP="00991CE5">
            <w:pPr>
              <w:spacing w:after="0" w:line="240" w:lineRule="auto"/>
              <w:rPr>
                <w:rFonts w:ascii="Segoe UI" w:eastAsia="Times New Roman" w:hAnsi="Segoe UI" w:cs="Segoe UI"/>
                <w:color w:val="0D0D0D"/>
                <w:sz w:val="21"/>
                <w:szCs w:val="21"/>
                <w:lang w:eastAsia="es-MX"/>
              </w:rPr>
            </w:pPr>
          </w:p>
        </w:tc>
      </w:tr>
      <w:tr w:rsidR="00991CE5" w:rsidRPr="00991CE5" w14:paraId="313DEEA8" w14:textId="77777777" w:rsidTr="0010505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A88011"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3. Uso adecuado de relaciones de probabilidad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945CA4A" w14:textId="5C46321D"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56E68F9" w14:textId="0BFD70E8"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7BE0E78" w14:textId="6C017635" w:rsidR="00991CE5" w:rsidRPr="00991CE5" w:rsidRDefault="00991CE5" w:rsidP="00991CE5">
            <w:pPr>
              <w:spacing w:after="0" w:line="240" w:lineRule="auto"/>
              <w:rPr>
                <w:rFonts w:ascii="Segoe UI" w:eastAsia="Times New Roman" w:hAnsi="Segoe UI" w:cs="Segoe UI"/>
                <w:color w:val="0D0D0D"/>
                <w:sz w:val="21"/>
                <w:szCs w:val="21"/>
                <w:lang w:eastAsia="es-MX"/>
              </w:rPr>
            </w:pPr>
          </w:p>
        </w:tc>
      </w:tr>
      <w:tr w:rsidR="00991CE5" w:rsidRPr="00991CE5" w14:paraId="4A33ABE5" w14:textId="77777777" w:rsidTr="0010505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F96D70"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4. Elaboración de tarjetas dobles con dibujos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EE82354" w14:textId="14E13D1D"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AA0057C" w14:textId="1FF24A4B"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7FF5A2F" w14:textId="0F20D18F" w:rsidR="00991CE5" w:rsidRPr="00991CE5" w:rsidRDefault="00991CE5" w:rsidP="00991CE5">
            <w:pPr>
              <w:spacing w:after="0" w:line="240" w:lineRule="auto"/>
              <w:rPr>
                <w:rFonts w:ascii="Segoe UI" w:eastAsia="Times New Roman" w:hAnsi="Segoe UI" w:cs="Segoe UI"/>
                <w:color w:val="0D0D0D"/>
                <w:sz w:val="21"/>
                <w:szCs w:val="21"/>
                <w:lang w:eastAsia="es-MX"/>
              </w:rPr>
            </w:pPr>
          </w:p>
        </w:tc>
      </w:tr>
      <w:tr w:rsidR="00991CE5" w:rsidRPr="00991CE5" w14:paraId="1ED7B171" w14:textId="77777777" w:rsidTr="0010505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563C78"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5. Presentación clara y efectiva ante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65A9DFC" w14:textId="2D18E109"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D6BB6F3" w14:textId="2E7DDC2E" w:rsidR="00991CE5" w:rsidRPr="00991CE5" w:rsidRDefault="00991CE5" w:rsidP="00991CE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856390D" w14:textId="791409A0" w:rsidR="00991CE5" w:rsidRPr="00991CE5" w:rsidRDefault="00991CE5" w:rsidP="00991CE5">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87"/>
        <w:gridCol w:w="8193"/>
      </w:tblGrid>
      <w:tr w:rsidR="00991CE5" w:rsidRPr="00991CE5" w14:paraId="0373BF55" w14:textId="77777777" w:rsidTr="00991CE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CA65D95"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560F3BF" w14:textId="77777777" w:rsidR="00991CE5" w:rsidRPr="00991CE5" w:rsidRDefault="00991CE5" w:rsidP="00991CE5">
            <w:pPr>
              <w:spacing w:after="0" w:line="240" w:lineRule="auto"/>
              <w:jc w:val="center"/>
              <w:rPr>
                <w:rFonts w:ascii="Segoe UI" w:eastAsia="Times New Roman" w:hAnsi="Segoe UI" w:cs="Segoe UI"/>
                <w:b/>
                <w:bCs/>
                <w:color w:val="0D0D0D"/>
                <w:sz w:val="21"/>
                <w:szCs w:val="21"/>
                <w:lang w:eastAsia="es-MX"/>
              </w:rPr>
            </w:pPr>
            <w:r w:rsidRPr="00991CE5">
              <w:rPr>
                <w:rFonts w:ascii="Segoe UI" w:eastAsia="Times New Roman" w:hAnsi="Segoe UI" w:cs="Segoe UI"/>
                <w:b/>
                <w:bCs/>
                <w:color w:val="0D0D0D"/>
                <w:sz w:val="21"/>
                <w:szCs w:val="21"/>
                <w:lang w:eastAsia="es-MX"/>
              </w:rPr>
              <w:t>Descripción</w:t>
            </w:r>
          </w:p>
        </w:tc>
      </w:tr>
      <w:tr w:rsidR="00991CE5" w:rsidRPr="00991CE5" w14:paraId="55D78A4C"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7FC44C"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1. Formulación de hipótesis de parentesco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29A55B9"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Evalúa si se formulan hipótesis claras y coherentes sobre posibles relaciones de parentesco entre órganos análogos y homólogos, demostrando comprensión del concepto y la capacidad de identificar similitudes y diferencias entre los elementos comparados.</w:t>
            </w:r>
          </w:p>
        </w:tc>
      </w:tr>
      <w:tr w:rsidR="00991CE5" w:rsidRPr="00991CE5" w14:paraId="5F78EC0E"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E17B9F"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2. Comparación de órganos análogos y homólogos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505FD3"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Verifica si se realiza una comparación precisa y detallada entre órganos análogos y homólogos, destacando sus características estructurales y funcionales, y demostrando comprensión de las relaciones evolutivas y adaptativas que existen entre ellos.</w:t>
            </w:r>
          </w:p>
        </w:tc>
      </w:tr>
      <w:tr w:rsidR="00991CE5" w:rsidRPr="00991CE5" w14:paraId="41760B4B"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04BD16"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3. Uso adecuado de relaciones de probabilidad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9D6D353"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Observa si se emplean correctamente relaciones de probabilidad, como "es más probable que" o "es menos probable que", para establecer posibles vínculos de parentesco entre los órganos comparados, demostrando razonamiento lógico y capacidad para inferir conclusiones a partir de los datos presentados.</w:t>
            </w:r>
          </w:p>
        </w:tc>
      </w:tr>
      <w:tr w:rsidR="00991CE5" w:rsidRPr="00991CE5" w14:paraId="2D4A2B84"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9C04B3"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4. Elaboración de tarjetas dobles con dibujos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46D39AB"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Evalúa la calidad y claridad de las tarjetas dobles elaboradas, considerando la precisión y el detalle de los dibujos que ejemplifican los casos de órganos análogos y homólogos, asegurando que la representación visual sea adecuada para comunicar las relaciones de parentesco de manera efectiva.</w:t>
            </w:r>
          </w:p>
        </w:tc>
      </w:tr>
      <w:tr w:rsidR="00991CE5" w:rsidRPr="00991CE5" w14:paraId="525BED14" w14:textId="77777777" w:rsidTr="00991CE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742AFE"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5. Presentación clara y efectiva ante la comunidad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0A2030E" w14:textId="77777777" w:rsidR="00991CE5" w:rsidRPr="00991CE5" w:rsidRDefault="00991CE5" w:rsidP="00991CE5">
            <w:pPr>
              <w:spacing w:after="0" w:line="240" w:lineRule="auto"/>
              <w:rPr>
                <w:rFonts w:ascii="Segoe UI" w:eastAsia="Times New Roman" w:hAnsi="Segoe UI" w:cs="Segoe UI"/>
                <w:color w:val="0D0D0D"/>
                <w:sz w:val="21"/>
                <w:szCs w:val="21"/>
                <w:lang w:eastAsia="es-MX"/>
              </w:rPr>
            </w:pPr>
            <w:r w:rsidRPr="00991CE5">
              <w:rPr>
                <w:rFonts w:ascii="Segoe UI" w:eastAsia="Times New Roman" w:hAnsi="Segoe UI" w:cs="Segoe UI"/>
                <w:color w:val="0D0D0D"/>
                <w:sz w:val="21"/>
                <w:szCs w:val="21"/>
                <w:lang w:eastAsia="es-MX"/>
              </w:rPr>
              <w:t>Verifica si la presentación de las tarjetas dobles ante la comunidad es clara, organizada y efectiva, asegurando que se expliquen de manera comprensible las hipótesis formuladas, las comparaciones realizadas y las conclusiones obtenidas a partir de la comparación de órganos análogos y homólogos.</w:t>
            </w:r>
          </w:p>
        </w:tc>
      </w:tr>
    </w:tbl>
    <w:p w14:paraId="2A42E383" w14:textId="3A70496E" w:rsidR="00824A0F" w:rsidRDefault="00824A0F" w:rsidP="000344DE"/>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555DE" w14:textId="77777777" w:rsidR="001513CC" w:rsidRDefault="001513CC" w:rsidP="005B7AE6">
      <w:pPr>
        <w:spacing w:after="0" w:line="240" w:lineRule="auto"/>
      </w:pPr>
      <w:r>
        <w:separator/>
      </w:r>
    </w:p>
  </w:endnote>
  <w:endnote w:type="continuationSeparator" w:id="0">
    <w:p w14:paraId="2F7847C4" w14:textId="77777777" w:rsidR="001513CC" w:rsidRDefault="001513CC"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7E488E" w14:textId="77777777" w:rsidR="001513CC" w:rsidRDefault="001513CC" w:rsidP="005B7AE6">
      <w:pPr>
        <w:spacing w:after="0" w:line="240" w:lineRule="auto"/>
      </w:pPr>
      <w:r>
        <w:separator/>
      </w:r>
    </w:p>
  </w:footnote>
  <w:footnote w:type="continuationSeparator" w:id="0">
    <w:p w14:paraId="2E932781" w14:textId="77777777" w:rsidR="001513CC" w:rsidRDefault="001513CC"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50B11BB0"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991CE5">
      <w:rPr>
        <w:rFonts w:ascii="Britannic Bold" w:hAnsi="Britannic Bold"/>
        <w:sz w:val="40"/>
        <w:szCs w:val="40"/>
      </w:rPr>
      <w:t>5</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18FB21F"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991CE5">
      <w:rPr>
        <w:rFonts w:ascii="Britannic Bold" w:hAnsi="Britannic Bold"/>
        <w:sz w:val="40"/>
        <w:szCs w:val="40"/>
      </w:rPr>
      <w:t>5</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513CC"/>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1CE5"/>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53031062">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75060394">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58961376">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893</Words>
  <Characters>4917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2024-04-22T00:21:00Z</dcterms:modified>
</cp:coreProperties>
</file>