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184" w:type="dxa"/>
        <w:tblCellSpacing w:w="15" w:type="dxa"/>
        <w:tblInd w:w="-57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1916"/>
        <w:gridCol w:w="2144"/>
        <w:gridCol w:w="1898"/>
        <w:gridCol w:w="1998"/>
        <w:gridCol w:w="2240"/>
      </w:tblGrid>
      <w:tr w:rsidR="00CC525F" w:rsidRPr="00CC525F" w14:paraId="3D5E9A67" w14:textId="77777777" w:rsidTr="00CC525F">
        <w:trPr>
          <w:trHeight w:val="428"/>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C28F0BC" w14:textId="77777777" w:rsidR="00CC525F" w:rsidRPr="00CC525F" w:rsidRDefault="00CC525F" w:rsidP="00CC525F">
            <w:pPr>
              <w:spacing w:after="0" w:line="240" w:lineRule="auto"/>
              <w:jc w:val="center"/>
              <w:rPr>
                <w:rFonts w:ascii="Segoe UI" w:eastAsia="Times New Roman" w:hAnsi="Segoe UI" w:cs="Segoe UI"/>
                <w:b/>
                <w:bCs/>
                <w:color w:val="0D0D0D"/>
                <w:sz w:val="15"/>
                <w:szCs w:val="15"/>
                <w:lang w:eastAsia="es-MX"/>
              </w:rPr>
            </w:pPr>
            <w:r w:rsidRPr="00CC525F">
              <w:rPr>
                <w:rFonts w:ascii="Segoe UI" w:eastAsia="Times New Roman" w:hAnsi="Segoe UI" w:cs="Segoe UI"/>
                <w:b/>
                <w:bCs/>
                <w:color w:val="0D0D0D"/>
                <w:sz w:val="15"/>
                <w:szCs w:val="15"/>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9A829A0" w14:textId="77777777" w:rsidR="00CC525F" w:rsidRPr="00CC525F" w:rsidRDefault="00CC525F" w:rsidP="00CC525F">
            <w:pPr>
              <w:spacing w:after="0" w:line="240" w:lineRule="auto"/>
              <w:jc w:val="center"/>
              <w:rPr>
                <w:rFonts w:ascii="Segoe UI" w:eastAsia="Times New Roman" w:hAnsi="Segoe UI" w:cs="Segoe UI"/>
                <w:b/>
                <w:bCs/>
                <w:color w:val="0D0D0D"/>
                <w:sz w:val="15"/>
                <w:szCs w:val="15"/>
                <w:lang w:eastAsia="es-MX"/>
              </w:rPr>
            </w:pPr>
            <w:r w:rsidRPr="00CC525F">
              <w:rPr>
                <w:rFonts w:ascii="Segoe UI" w:eastAsia="Times New Roman" w:hAnsi="Segoe UI" w:cs="Segoe UI"/>
                <w:b/>
                <w:bCs/>
                <w:color w:val="0D0D0D"/>
                <w:sz w:val="15"/>
                <w:szCs w:val="15"/>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351A3FD" w14:textId="77777777" w:rsidR="00CC525F" w:rsidRPr="00CC525F" w:rsidRDefault="00CC525F" w:rsidP="00CC525F">
            <w:pPr>
              <w:spacing w:after="0" w:line="240" w:lineRule="auto"/>
              <w:jc w:val="center"/>
              <w:rPr>
                <w:rFonts w:ascii="Segoe UI" w:eastAsia="Times New Roman" w:hAnsi="Segoe UI" w:cs="Segoe UI"/>
                <w:b/>
                <w:bCs/>
                <w:color w:val="0D0D0D"/>
                <w:sz w:val="15"/>
                <w:szCs w:val="15"/>
                <w:lang w:eastAsia="es-MX"/>
              </w:rPr>
            </w:pPr>
            <w:r w:rsidRPr="00CC525F">
              <w:rPr>
                <w:rFonts w:ascii="Segoe UI" w:eastAsia="Times New Roman" w:hAnsi="Segoe UI" w:cs="Segoe UI"/>
                <w:b/>
                <w:bCs/>
                <w:color w:val="0D0D0D"/>
                <w:sz w:val="15"/>
                <w:szCs w:val="15"/>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E0CD19C" w14:textId="77777777" w:rsidR="00CC525F" w:rsidRPr="00CC525F" w:rsidRDefault="00CC525F" w:rsidP="00CC525F">
            <w:pPr>
              <w:spacing w:after="0" w:line="240" w:lineRule="auto"/>
              <w:jc w:val="center"/>
              <w:rPr>
                <w:rFonts w:ascii="Segoe UI" w:eastAsia="Times New Roman" w:hAnsi="Segoe UI" w:cs="Segoe UI"/>
                <w:b/>
                <w:bCs/>
                <w:color w:val="0D0D0D"/>
                <w:sz w:val="15"/>
                <w:szCs w:val="15"/>
                <w:lang w:eastAsia="es-MX"/>
              </w:rPr>
            </w:pPr>
            <w:r w:rsidRPr="00CC525F">
              <w:rPr>
                <w:rFonts w:ascii="Segoe UI" w:eastAsia="Times New Roman" w:hAnsi="Segoe UI" w:cs="Segoe UI"/>
                <w:b/>
                <w:bCs/>
                <w:color w:val="0D0D0D"/>
                <w:sz w:val="15"/>
                <w:szCs w:val="15"/>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CD2506C" w14:textId="77777777" w:rsidR="00CC525F" w:rsidRPr="00CC525F" w:rsidRDefault="00CC525F" w:rsidP="00CC525F">
            <w:pPr>
              <w:spacing w:after="0" w:line="240" w:lineRule="auto"/>
              <w:jc w:val="center"/>
              <w:rPr>
                <w:rFonts w:ascii="Segoe UI" w:eastAsia="Times New Roman" w:hAnsi="Segoe UI" w:cs="Segoe UI"/>
                <w:b/>
                <w:bCs/>
                <w:color w:val="0D0D0D"/>
                <w:sz w:val="15"/>
                <w:szCs w:val="15"/>
                <w:lang w:eastAsia="es-MX"/>
              </w:rPr>
            </w:pPr>
            <w:r w:rsidRPr="00CC525F">
              <w:rPr>
                <w:rFonts w:ascii="Segoe UI" w:eastAsia="Times New Roman" w:hAnsi="Segoe UI" w:cs="Segoe UI"/>
                <w:b/>
                <w:bCs/>
                <w:color w:val="0D0D0D"/>
                <w:sz w:val="15"/>
                <w:szCs w:val="15"/>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B642EA8" w14:textId="77777777" w:rsidR="00CC525F" w:rsidRPr="00CC525F" w:rsidRDefault="00CC525F" w:rsidP="00CC525F">
            <w:pPr>
              <w:spacing w:after="0" w:line="240" w:lineRule="auto"/>
              <w:jc w:val="center"/>
              <w:rPr>
                <w:rFonts w:ascii="Segoe UI" w:eastAsia="Times New Roman" w:hAnsi="Segoe UI" w:cs="Segoe UI"/>
                <w:b/>
                <w:bCs/>
                <w:color w:val="0D0D0D"/>
                <w:sz w:val="15"/>
                <w:szCs w:val="15"/>
                <w:lang w:eastAsia="es-MX"/>
              </w:rPr>
            </w:pPr>
            <w:r w:rsidRPr="00CC525F">
              <w:rPr>
                <w:rFonts w:ascii="Segoe UI" w:eastAsia="Times New Roman" w:hAnsi="Segoe UI" w:cs="Segoe UI"/>
                <w:b/>
                <w:bCs/>
                <w:color w:val="0D0D0D"/>
                <w:sz w:val="15"/>
                <w:szCs w:val="15"/>
                <w:lang w:eastAsia="es-MX"/>
              </w:rPr>
              <w:t>Excelente</w:t>
            </w:r>
          </w:p>
        </w:tc>
      </w:tr>
      <w:tr w:rsidR="00CC525F" w:rsidRPr="00CC525F" w14:paraId="6BF49B70" w14:textId="77777777" w:rsidTr="00CC525F">
        <w:trPr>
          <w:trHeight w:val="233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56442C"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Precisión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823543"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representación en la maqueta es inexacta y no refleja adecuadamente el proceso de transferencia de materia y energía en las cadenas tróficas. Las ecuaciones proporcionadas no están correctamente aplicadas o no se relacionan claramente con 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F4206C2"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representación en la maqueta es suficientemente precisa para comprender el proceso de transferencia de materia y energía en las cadenas tróficas, pero hay algunas imprecisiones. Las ecuaciones proporcionadas están relacionadas con el tema, pero pueden no ser totalmente claras.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30A1BE3"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representación en la maqueta es precisa y refleja correctamente el proceso de transferencia de materia y energía en las cadenas tróficas. Las ecuaciones proporcionadas están claramente relacionadas con el tema y se aplican correctamente.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DCC462"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representación en la maqueta es muy precisa y detallada, ofreciendo una comprensión completa del proceso de transferencia de materia y energía en las cadenas tróficas. Las ecuaciones proporcionadas están correctamente aplicadas y se relacionan directamente con 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5166B32D"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representación en la maqueta es excepcionalmente precisa y detallada, ofreciendo una comprensión profunda y completa del proceso de transferencia de materia y energía en las cadenas tróficas. Las ecuaciones proporcionadas están claramente aplicadas y se relacionan perfectamente con el tema.</w:t>
            </w:r>
          </w:p>
        </w:tc>
      </w:tr>
      <w:tr w:rsidR="00CC525F" w:rsidRPr="00CC525F" w14:paraId="51114630" w14:textId="77777777" w:rsidTr="00CC525F">
        <w:trPr>
          <w:trHeight w:val="2314"/>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1FC0C94"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Creatividad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7B4B07"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carece de creatividad y originalidad. No hay elementos innovadores que agreguen valor a la representación del proceso de transferencia de materia y energía en las cadenas tróficas.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DFA2D66"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muestra cierta creatividad y originalidad, pero podría ser más innovadora. Algunos elementos pueden parecer genéricos o no contribuir significativamente a la comprensión del proceso de transferencia de materia y energía en las cadenas tróficas.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1AC846F"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 creativa y presenta elementos innovadores que mejoran la representación del proceso de transferencia de materia y energía en las cadenas tróficas. La creatividad añade valor a la comprensión del tema y hace que la maqueta sea más atractiva visualmente.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261831F"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muestra una gran creatividad y originalidad en su diseño y presentación. Los elementos innovadores destacan y enriquecen la representación del proceso de transferencia de materia y energía en las cadenas tróficas, mejorando la comprensión y el impacto visual.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1F00C35"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 excepcionalmente creativa y original en su diseño y presentación. Los elementos innovadores son destacados y ofrecen una perspectiva única del proceso de transferencia de materia y energía en las cadenas tróficas, enriqueciendo significativamente la comprensión y la apreciación del tema.</w:t>
            </w:r>
          </w:p>
        </w:tc>
      </w:tr>
      <w:tr w:rsidR="00CC525F" w:rsidRPr="00CC525F" w14:paraId="5DD21D76" w14:textId="77777777" w:rsidTr="00CC525F">
        <w:trPr>
          <w:trHeight w:val="233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BE7FB9"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Organización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369F59"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está desorganizada y no hay una estructura clara en la representación del proceso de transferencia de materia y energía en las cadenas tróficas. Los elementos están mal distribuidos o presentados de manera confusa, lo que dificulta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8BC339"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muestra cierta organización, pero la estructura puede ser confusa en algunos aspectos. Algunos elementos pueden estar mal distribuidos o presentados de manera poco clara, lo que dificulta la comprensión completa del proceso de transferencia de materia y energía en las cadenas tróficas.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CD036D"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está bien organizada, con una estructura clara que facilita la comprensión del proceso de transferencia de materia y energía en las cadenas tróficas. Los elementos están distribuidos de manera lógica y coherente, lo que ayuda a seguir el flujo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B093C66"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está muy bien organizada, con una estructura clara y lógica que facilita la comprensión completa del proceso de transferencia de materia y energía en las cadenas tróficas. Los elementos están cuidadosamente distribuidos y presentados de manera coherente y comprensible.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C5ED9B0"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está excepcionalmente bien organizada, con una estructura lógica y fluida que permite una comprensión profunda del proceso de transferencia de materia y energía en las cadenas tróficas. Los elementos están estratégicamente distribuidos y presentados de manera clara y coherente.</w:t>
            </w:r>
          </w:p>
        </w:tc>
      </w:tr>
      <w:tr w:rsidR="00CC525F" w:rsidRPr="00CC525F" w14:paraId="179C4205" w14:textId="77777777" w:rsidTr="00CC525F">
        <w:trPr>
          <w:trHeight w:val="2330"/>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C120B1"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Detalles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10048F"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carece de detalles importantes o estos están mal representados, lo que dificulta la comprensión del proceso de transferencia de materia y energía en las cadenas tróficas.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8BCF1F"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muestra algunos detalles relevantes, pero puede haber omisiones importantes o falta de precisión en la representación del proceso de transferencia de materia y energía en las cadenas tróficas.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795A4C4"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presenta detalles significativos que contribuyen a la comprensión del proceso de transferencia de materia y energía en las cadenas tróficas. Los elementos clave están representados con precisión y claridad, lo que facilita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2DEB824"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está ricamente detallada, mostrando una atención meticulosa a los elementos clave del proceso de transferencia de materia y energía en las cadenas tróficas. Los detalles están representados con precisión y claridad, enriqueciendo la comprensión y el impacto visual.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54AF4C0"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maqueta está excepcionalmente detallada, mostrando un nivel extraordinario de atención a los elementos clave del proceso de transferencia de materia y energía en las cadenas tróficas. Cada detalle está representado con precisión y claridad, elevando la comprensión y la apreciación del tema.</w:t>
            </w:r>
          </w:p>
        </w:tc>
      </w:tr>
      <w:tr w:rsidR="00CC525F" w:rsidRPr="00CC525F" w14:paraId="6EB691D3" w14:textId="77777777" w:rsidTr="00CC525F">
        <w:trPr>
          <w:trHeight w:val="2536"/>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09D833F"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C0E207"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presentación de la maqueta es descuidada y poco atractiva visualmente. La disposición de los elementos y detalles no es atractiva ni fácil de seguir.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3ABEDBA"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presentación de la maqueta es aceptable, pero podría ser más atractiva visualmente. La disposición de los elementos y detalles es ordenada, pero podría mejorarse para aumentar la atracción visual y la claridad.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CBC17A"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presentación de la maqueta es buena y atractiva visualmente, con una disposición clara de los elementos y detalles.</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4CA350B"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presentación de la maqueta es muy buena y altamente atractiva visualmente, con un diseño claro y agradable. Los detalles están bien integrados en la presentación general y contribuyen positivamente a la estética visual.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C61CB07" w14:textId="77777777" w:rsidR="00CC525F" w:rsidRPr="00CC525F" w:rsidRDefault="00CC525F" w:rsidP="00CC525F">
            <w:pPr>
              <w:spacing w:after="0" w:line="240" w:lineRule="auto"/>
              <w:rPr>
                <w:rFonts w:ascii="Segoe UI" w:eastAsia="Times New Roman" w:hAnsi="Segoe UI" w:cs="Segoe UI"/>
                <w:color w:val="0D0D0D"/>
                <w:sz w:val="15"/>
                <w:szCs w:val="15"/>
                <w:lang w:eastAsia="es-MX"/>
              </w:rPr>
            </w:pPr>
            <w:r w:rsidRPr="00CC525F">
              <w:rPr>
                <w:rFonts w:ascii="Segoe UI" w:eastAsia="Times New Roman" w:hAnsi="Segoe UI" w:cs="Segoe UI"/>
                <w:color w:val="0D0D0D"/>
                <w:sz w:val="15"/>
                <w:szCs w:val="15"/>
                <w:lang w:eastAsia="es-MX"/>
              </w:rPr>
              <w:t>La presentación de la maqueta es excelente, con un diseño visualmente impactante que complementa y realza la comprensión del proceso de transferencia de materia y energía en las cadenas tróficas. Los detalles están perfectamente integrados en la presentación general, contribuyendo significativamente a la estética visual.</w:t>
            </w:r>
          </w:p>
        </w:tc>
      </w:tr>
    </w:tbl>
    <w:p w14:paraId="435BCD4F" w14:textId="6A40B137" w:rsidR="006D1570" w:rsidRDefault="006D1570"/>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242"/>
        <w:gridCol w:w="834"/>
        <w:gridCol w:w="2118"/>
        <w:gridCol w:w="1186"/>
      </w:tblGrid>
      <w:tr w:rsidR="00CC525F" w:rsidRPr="00CC525F" w14:paraId="7EBE4C5D" w14:textId="77777777" w:rsidTr="00CC525F">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526CC01" w14:textId="77777777" w:rsidR="00CC525F" w:rsidRPr="00CC525F" w:rsidRDefault="00CC525F" w:rsidP="00CC525F">
            <w:pPr>
              <w:spacing w:after="0" w:line="240" w:lineRule="auto"/>
              <w:jc w:val="center"/>
              <w:rPr>
                <w:rFonts w:ascii="Segoe UI" w:eastAsia="Times New Roman" w:hAnsi="Segoe UI" w:cs="Segoe UI"/>
                <w:b/>
                <w:bCs/>
                <w:color w:val="0D0D0D"/>
                <w:sz w:val="21"/>
                <w:szCs w:val="21"/>
                <w:lang w:eastAsia="es-MX"/>
              </w:rPr>
            </w:pPr>
            <w:r w:rsidRPr="00CC525F">
              <w:rPr>
                <w:rFonts w:ascii="Segoe UI" w:eastAsia="Times New Roman" w:hAnsi="Segoe UI" w:cs="Segoe UI"/>
                <w:b/>
                <w:bCs/>
                <w:color w:val="0D0D0D"/>
                <w:sz w:val="21"/>
                <w:szCs w:val="21"/>
                <w:lang w:eastAsia="es-MX"/>
              </w:rPr>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6C6D31A1" w14:textId="77777777" w:rsidR="00CC525F" w:rsidRPr="00CC525F" w:rsidRDefault="00CC525F" w:rsidP="00CC525F">
            <w:pPr>
              <w:spacing w:after="0" w:line="240" w:lineRule="auto"/>
              <w:jc w:val="center"/>
              <w:rPr>
                <w:rFonts w:ascii="Segoe UI" w:eastAsia="Times New Roman" w:hAnsi="Segoe UI" w:cs="Segoe UI"/>
                <w:b/>
                <w:bCs/>
                <w:color w:val="0D0D0D"/>
                <w:sz w:val="21"/>
                <w:szCs w:val="21"/>
                <w:lang w:eastAsia="es-MX"/>
              </w:rPr>
            </w:pPr>
            <w:r w:rsidRPr="00CC525F">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415E3A7" w14:textId="77777777" w:rsidR="00CC525F" w:rsidRPr="00CC525F" w:rsidRDefault="00CC525F" w:rsidP="00CC525F">
            <w:pPr>
              <w:spacing w:after="0" w:line="240" w:lineRule="auto"/>
              <w:jc w:val="center"/>
              <w:rPr>
                <w:rFonts w:ascii="Segoe UI" w:eastAsia="Times New Roman" w:hAnsi="Segoe UI" w:cs="Segoe UI"/>
                <w:b/>
                <w:bCs/>
                <w:color w:val="0D0D0D"/>
                <w:sz w:val="21"/>
                <w:szCs w:val="21"/>
                <w:lang w:eastAsia="es-MX"/>
              </w:rPr>
            </w:pPr>
            <w:r w:rsidRPr="00CC525F">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46CB4261" w14:textId="77777777" w:rsidR="00CC525F" w:rsidRPr="00CC525F" w:rsidRDefault="00CC525F" w:rsidP="00CC525F">
            <w:pPr>
              <w:spacing w:after="0" w:line="240" w:lineRule="auto"/>
              <w:jc w:val="center"/>
              <w:rPr>
                <w:rFonts w:ascii="Segoe UI" w:eastAsia="Times New Roman" w:hAnsi="Segoe UI" w:cs="Segoe UI"/>
                <w:b/>
                <w:bCs/>
                <w:color w:val="0D0D0D"/>
                <w:sz w:val="21"/>
                <w:szCs w:val="21"/>
                <w:lang w:eastAsia="es-MX"/>
              </w:rPr>
            </w:pPr>
            <w:r w:rsidRPr="00CC525F">
              <w:rPr>
                <w:rFonts w:ascii="Segoe UI" w:eastAsia="Times New Roman" w:hAnsi="Segoe UI" w:cs="Segoe UI"/>
                <w:b/>
                <w:bCs/>
                <w:color w:val="0D0D0D"/>
                <w:sz w:val="21"/>
                <w:szCs w:val="21"/>
                <w:lang w:eastAsia="es-MX"/>
              </w:rPr>
              <w:t>No Cumple</w:t>
            </w:r>
          </w:p>
        </w:tc>
      </w:tr>
      <w:tr w:rsidR="006C7C2A" w:rsidRPr="00CC525F" w14:paraId="49C2D896" w14:textId="77777777" w:rsidTr="00DD751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58496C6" w14:textId="77777777" w:rsidR="006C7C2A" w:rsidRPr="00CC525F" w:rsidRDefault="006C7C2A" w:rsidP="006C7C2A">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1. Inclusión de teorías del origen de la biodiversidad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tcPr>
          <w:p w14:paraId="2A992809" w14:textId="062B717D"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tcPr>
          <w:p w14:paraId="50A1AFA5" w14:textId="0BDBAEFA"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5DC26A1" w14:textId="0DE3E995" w:rsidR="006C7C2A" w:rsidRPr="00CC525F" w:rsidRDefault="006C7C2A" w:rsidP="006C7C2A">
            <w:pPr>
              <w:spacing w:after="0" w:line="240" w:lineRule="auto"/>
              <w:rPr>
                <w:rFonts w:ascii="Segoe UI" w:eastAsia="Times New Roman" w:hAnsi="Segoe UI" w:cs="Segoe UI"/>
                <w:color w:val="0D0D0D"/>
                <w:sz w:val="21"/>
                <w:szCs w:val="21"/>
                <w:lang w:eastAsia="es-MX"/>
              </w:rPr>
            </w:pPr>
          </w:p>
        </w:tc>
      </w:tr>
      <w:tr w:rsidR="006C7C2A" w:rsidRPr="00CC525F" w14:paraId="0D93D179" w14:textId="77777777" w:rsidTr="00DD751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2FBD41F" w14:textId="77777777" w:rsidR="006C7C2A" w:rsidRPr="00CC525F" w:rsidRDefault="006C7C2A" w:rsidP="006C7C2A">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2. Utilización adecuada del segmento como distancia entre dos puntos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059D1A" w14:textId="54F1A253"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C68C13E" w14:textId="63F8C3D4"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9CA3659" w14:textId="597D7E8C" w:rsidR="006C7C2A" w:rsidRPr="00CC525F" w:rsidRDefault="006C7C2A" w:rsidP="006C7C2A">
            <w:pPr>
              <w:spacing w:after="0" w:line="240" w:lineRule="auto"/>
              <w:rPr>
                <w:rFonts w:ascii="Segoe UI" w:eastAsia="Times New Roman" w:hAnsi="Segoe UI" w:cs="Segoe UI"/>
                <w:color w:val="0D0D0D"/>
                <w:sz w:val="21"/>
                <w:szCs w:val="21"/>
                <w:lang w:eastAsia="es-MX"/>
              </w:rPr>
            </w:pPr>
          </w:p>
        </w:tc>
      </w:tr>
      <w:tr w:rsidR="006C7C2A" w:rsidRPr="00CC525F" w14:paraId="285C0D84" w14:textId="77777777" w:rsidTr="00DD751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D7B9F6" w14:textId="77777777" w:rsidR="006C7C2A" w:rsidRPr="00CC525F" w:rsidRDefault="006C7C2A" w:rsidP="006C7C2A">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3. Claridad en la presentación de datos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41061C9C" w14:textId="54ED22CB"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2846B75" w14:textId="285C9B04"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D1B38BA" w14:textId="7B84B478" w:rsidR="006C7C2A" w:rsidRPr="00CC525F" w:rsidRDefault="006C7C2A" w:rsidP="006C7C2A">
            <w:pPr>
              <w:spacing w:after="0" w:line="240" w:lineRule="auto"/>
              <w:rPr>
                <w:rFonts w:ascii="Segoe UI" w:eastAsia="Times New Roman" w:hAnsi="Segoe UI" w:cs="Segoe UI"/>
                <w:color w:val="0D0D0D"/>
                <w:sz w:val="21"/>
                <w:szCs w:val="21"/>
                <w:lang w:eastAsia="es-MX"/>
              </w:rPr>
            </w:pPr>
          </w:p>
        </w:tc>
      </w:tr>
      <w:tr w:rsidR="006C7C2A" w:rsidRPr="00CC525F" w14:paraId="0F4001F9" w14:textId="77777777" w:rsidTr="00DD751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E7F418A" w14:textId="77777777" w:rsidR="006C7C2A" w:rsidRPr="00CC525F" w:rsidRDefault="006C7C2A" w:rsidP="006C7C2A">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4. Coherencia en la estructura del periódico mural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3023B01" w14:textId="03B3B70F"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279E502F" w14:textId="20825C52"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F76E51A" w14:textId="2D0C5A67" w:rsidR="006C7C2A" w:rsidRPr="00CC525F" w:rsidRDefault="006C7C2A" w:rsidP="006C7C2A">
            <w:pPr>
              <w:spacing w:after="0" w:line="240" w:lineRule="auto"/>
              <w:rPr>
                <w:rFonts w:ascii="Segoe UI" w:eastAsia="Times New Roman" w:hAnsi="Segoe UI" w:cs="Segoe UI"/>
                <w:color w:val="0D0D0D"/>
                <w:sz w:val="21"/>
                <w:szCs w:val="21"/>
                <w:lang w:eastAsia="es-MX"/>
              </w:rPr>
            </w:pPr>
          </w:p>
        </w:tc>
      </w:tr>
      <w:tr w:rsidR="006C7C2A" w:rsidRPr="00CC525F" w14:paraId="0F8789E1" w14:textId="77777777" w:rsidTr="00DD751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59853BF" w14:textId="77777777" w:rsidR="006C7C2A" w:rsidRPr="00CC525F" w:rsidRDefault="006C7C2A" w:rsidP="006C7C2A">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5. Creatividad en el diseño y la 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5FD19941" w14:textId="441C6D29"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6F14EC6" w14:textId="1194A0A7" w:rsidR="006C7C2A" w:rsidRPr="00CC525F" w:rsidRDefault="006C7C2A" w:rsidP="006C7C2A">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267B494" w14:textId="4DF4F02B" w:rsidR="006C7C2A" w:rsidRPr="00CC525F" w:rsidRDefault="006C7C2A" w:rsidP="006C7C2A">
            <w:pPr>
              <w:spacing w:after="0" w:line="240" w:lineRule="auto"/>
              <w:rPr>
                <w:rFonts w:ascii="Segoe UI" w:eastAsia="Times New Roman" w:hAnsi="Segoe UI" w:cs="Segoe UI"/>
                <w:color w:val="0D0D0D"/>
                <w:sz w:val="21"/>
                <w:szCs w:val="21"/>
                <w:lang w:eastAsia="es-MX"/>
              </w:rPr>
            </w:pPr>
          </w:p>
        </w:tc>
      </w:tr>
    </w:tbl>
    <w:p w14:paraId="4EDB6D96" w14:textId="2966AD81"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57"/>
        <w:gridCol w:w="7823"/>
      </w:tblGrid>
      <w:tr w:rsidR="00CC525F" w:rsidRPr="00CC525F" w14:paraId="430D918E" w14:textId="77777777" w:rsidTr="00CC525F">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A52A2D7" w14:textId="77777777" w:rsidR="00CC525F" w:rsidRPr="00CC525F" w:rsidRDefault="00CC525F" w:rsidP="00CC525F">
            <w:pPr>
              <w:spacing w:after="0" w:line="240" w:lineRule="auto"/>
              <w:jc w:val="center"/>
              <w:rPr>
                <w:rFonts w:ascii="Segoe UI" w:eastAsia="Times New Roman" w:hAnsi="Segoe UI" w:cs="Segoe UI"/>
                <w:b/>
                <w:bCs/>
                <w:color w:val="0D0D0D"/>
                <w:sz w:val="21"/>
                <w:szCs w:val="21"/>
                <w:lang w:eastAsia="es-MX"/>
              </w:rPr>
            </w:pPr>
            <w:r w:rsidRPr="00CC525F">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3F3DDB29" w14:textId="77777777" w:rsidR="00CC525F" w:rsidRPr="00CC525F" w:rsidRDefault="00CC525F" w:rsidP="00CC525F">
            <w:pPr>
              <w:spacing w:after="0" w:line="240" w:lineRule="auto"/>
              <w:jc w:val="center"/>
              <w:rPr>
                <w:rFonts w:ascii="Segoe UI" w:eastAsia="Times New Roman" w:hAnsi="Segoe UI" w:cs="Segoe UI"/>
                <w:b/>
                <w:bCs/>
                <w:color w:val="0D0D0D"/>
                <w:sz w:val="21"/>
                <w:szCs w:val="21"/>
                <w:lang w:eastAsia="es-MX"/>
              </w:rPr>
            </w:pPr>
            <w:r w:rsidRPr="00CC525F">
              <w:rPr>
                <w:rFonts w:ascii="Segoe UI" w:eastAsia="Times New Roman" w:hAnsi="Segoe UI" w:cs="Segoe UI"/>
                <w:b/>
                <w:bCs/>
                <w:color w:val="0D0D0D"/>
                <w:sz w:val="21"/>
                <w:szCs w:val="21"/>
                <w:lang w:eastAsia="es-MX"/>
              </w:rPr>
              <w:t>Descripción</w:t>
            </w:r>
          </w:p>
        </w:tc>
      </w:tr>
      <w:tr w:rsidR="00CC525F" w:rsidRPr="00CC525F" w14:paraId="0653DA9E" w14:textId="77777777" w:rsidTr="00CC525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A95D05F"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1. Inclusión de teorías del origen de la biodiversidad</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067B9E8"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Evalúa si el periódico mural incluye información sobre diferentes teorías que explican el origen de la biodiversidad, como la teoría de la evolución de Darwin, la teoría del creacionismo, entre otras, asegurando que se aborde de manera completa y equilibrada.</w:t>
            </w:r>
          </w:p>
        </w:tc>
      </w:tr>
      <w:tr w:rsidR="00CC525F" w:rsidRPr="00CC525F" w14:paraId="331CE77C" w14:textId="77777777" w:rsidTr="00CC525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9F69100"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2. Utilización adecuada del segmento como distancia entre dos puntos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3259047"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Verifica si se utiliza correctamente el concepto matemático de segmento como la distancia entre dos puntos para representar datos relevantes en el periódico mural, garantizando que esta representación sea precisa y coherente con el tema abordado.</w:t>
            </w:r>
          </w:p>
        </w:tc>
      </w:tr>
      <w:tr w:rsidR="00CC525F" w:rsidRPr="00CC525F" w14:paraId="5CC1E5DE" w14:textId="77777777" w:rsidTr="00CC525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6E944E7"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3. Claridad en la presentación de datos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E054F58"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Evalúa la claridad y legibilidad de los datos presentados en el periódico mural, asegurando que la información sea fácilmente comprensible para el público objetivo, utilizando un lenguaje claro y gráficos adecuados para transmitir la información de manera efectiva.</w:t>
            </w:r>
          </w:p>
        </w:tc>
      </w:tr>
      <w:tr w:rsidR="00CC525F" w:rsidRPr="00CC525F" w14:paraId="51B6BCA6" w14:textId="77777777" w:rsidTr="00CC525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59C5C14"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4. Coherencia en la estructura del periódico mural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A852A5B"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Observa si existe coherencia en la estructura del periódico mural, asegurando que los diferentes elementos (títulos, subtítulos, gráficos, imágenes) estén organizados de manera lógica y contribuyan a transmitir el mensaje principal sobre las teorías del origen de la biodiversidad de manera ordenada y comprensible.</w:t>
            </w:r>
          </w:p>
        </w:tc>
      </w:tr>
      <w:tr w:rsidR="00CC525F" w:rsidRPr="00CC525F" w14:paraId="70834002" w14:textId="77777777" w:rsidTr="00CC525F">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A70131B"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5. Creatividad en el diseño y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899D4BD" w14:textId="77777777" w:rsidR="00CC525F" w:rsidRPr="00CC525F" w:rsidRDefault="00CC525F" w:rsidP="00CC525F">
            <w:pPr>
              <w:spacing w:after="0" w:line="240" w:lineRule="auto"/>
              <w:rPr>
                <w:rFonts w:ascii="Segoe UI" w:eastAsia="Times New Roman" w:hAnsi="Segoe UI" w:cs="Segoe UI"/>
                <w:color w:val="0D0D0D"/>
                <w:sz w:val="21"/>
                <w:szCs w:val="21"/>
                <w:lang w:eastAsia="es-MX"/>
              </w:rPr>
            </w:pPr>
            <w:r w:rsidRPr="00CC525F">
              <w:rPr>
                <w:rFonts w:ascii="Segoe UI" w:eastAsia="Times New Roman" w:hAnsi="Segoe UI" w:cs="Segoe UI"/>
                <w:color w:val="0D0D0D"/>
                <w:sz w:val="21"/>
                <w:szCs w:val="21"/>
                <w:lang w:eastAsia="es-MX"/>
              </w:rPr>
              <w:t>Evalúa el nivel de creatividad en el diseño y la presentación del periódico mural, considerando el uso de colores, imágenes, tipografías y otros elementos visuales que capturen la atención del espectador y hagan que el contenido sea más atractivo y memorable.</w:t>
            </w:r>
          </w:p>
        </w:tc>
      </w:tr>
    </w:tbl>
    <w:p w14:paraId="631AFEA2" w14:textId="77777777" w:rsidR="00CC525F" w:rsidRDefault="00CC525F"/>
    <w:p w14:paraId="317DCA3E" w14:textId="41C46744" w:rsidR="0088559C" w:rsidRDefault="0088559C" w:rsidP="005B7AE6"/>
    <w:p w14:paraId="26BA8521" w14:textId="5C920C44" w:rsidR="0088559C" w:rsidRDefault="0088559C" w:rsidP="005B7AE6"/>
    <w:p w14:paraId="69ED7F44" w14:textId="5738497D" w:rsidR="0088559C" w:rsidRDefault="0088559C" w:rsidP="005B7AE6"/>
    <w:p w14:paraId="25682EEE" w14:textId="28DD373B" w:rsidR="0088559C" w:rsidRDefault="0088559C" w:rsidP="005B7AE6"/>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6A6AC" w14:textId="77777777" w:rsidR="006A4E2F" w:rsidRDefault="006A4E2F" w:rsidP="005B7AE6">
      <w:pPr>
        <w:spacing w:after="0" w:line="240" w:lineRule="auto"/>
      </w:pPr>
      <w:r>
        <w:separator/>
      </w:r>
    </w:p>
  </w:endnote>
  <w:endnote w:type="continuationSeparator" w:id="0">
    <w:p w14:paraId="206C3CAC" w14:textId="77777777" w:rsidR="006A4E2F" w:rsidRDefault="006A4E2F"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822F34" w14:textId="77777777" w:rsidR="006A4E2F" w:rsidRDefault="006A4E2F" w:rsidP="005B7AE6">
      <w:pPr>
        <w:spacing w:after="0" w:line="240" w:lineRule="auto"/>
      </w:pPr>
      <w:r>
        <w:separator/>
      </w:r>
    </w:p>
  </w:footnote>
  <w:footnote w:type="continuationSeparator" w:id="0">
    <w:p w14:paraId="682FFD8A" w14:textId="77777777" w:rsidR="006A4E2F" w:rsidRDefault="006A4E2F"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2DF4B071"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sidR="00CC525F">
      <w:rPr>
        <w:rFonts w:ascii="Britannic Bold" w:hAnsi="Britannic Bold"/>
        <w:sz w:val="40"/>
        <w:szCs w:val="40"/>
      </w:rPr>
      <w:t>9</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7BD4CE21"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sidR="00CC525F">
      <w:rPr>
        <w:rFonts w:ascii="Britannic Bold" w:hAnsi="Britannic Bold"/>
        <w:sz w:val="40"/>
        <w:szCs w:val="40"/>
      </w:rPr>
      <w:t>9</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B7AE6"/>
    <w:rsid w:val="006659A1"/>
    <w:rsid w:val="006A4E2F"/>
    <w:rsid w:val="006C7C2A"/>
    <w:rsid w:val="006D1570"/>
    <w:rsid w:val="00706512"/>
    <w:rsid w:val="00713ADF"/>
    <w:rsid w:val="007B5A6A"/>
    <w:rsid w:val="00824A0F"/>
    <w:rsid w:val="00837C80"/>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C525F"/>
    <w:rsid w:val="00CF75AF"/>
    <w:rsid w:val="00D55E64"/>
    <w:rsid w:val="00DC0EB9"/>
    <w:rsid w:val="00DF7247"/>
    <w:rsid w:val="00E03122"/>
    <w:rsid w:val="00EE7AD5"/>
    <w:rsid w:val="00F13F3E"/>
    <w:rsid w:val="00F740F2"/>
    <w:rsid w:val="00F75F6B"/>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459300362">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67022538">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27986592">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1292</Words>
  <Characters>7108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2024-04-22T04:46:00Z</dcterms:modified>
</cp:coreProperties>
</file>