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oj216tscqvg" w:id="0"/>
      <w:bookmarkEnd w:id="0"/>
      <w:r w:rsidDel="00000000" w:rsidR="00000000" w:rsidRPr="00000000">
        <w:rPr>
          <w:rtl w:val="0"/>
        </w:rPr>
        <w:t xml:space="preserve">🧩 Artefact FilRouge — Contexte pour Claude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5ttlkaz3xud" w:id="1"/>
      <w:bookmarkEnd w:id="1"/>
      <w:r w:rsidDel="00000000" w:rsidR="00000000" w:rsidRPr="00000000">
        <w:rPr>
          <w:rtl w:val="0"/>
        </w:rPr>
        <w:t xml:space="preserve">Contexte du projet Churn Data Platform (rappel)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 fil rouge RNCP38919 (Data Engineer, niveau 7), mené en binôme par Maëva Rodrigues et Alexandre Gire. Objectif : prédire le churn de clients télécom via un pipeline data complet, du dataset Kaggle Telco Customer Churn jusqu'à l'exposition d'un modèle ML via API.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Stack technique retenue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Langage : Python (Poetry pour la gestion des dépendances, environnement WSL Ubuntu-24.04)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Stockage : PostgreSQL (architecture en couches Bronze / Silver / Gold), y compris les avis Trustpilot (scraping BeautifulSoup) et les données synthétiques SDV, la partie semi-structurée en JSONB. Pas de base NoSQL dédiée : MongoDB a été écarté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Transformation : dbt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Orchestration : Apache Airflow (conteneurisé via Docker, pas installé dans le venv Python)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Machine learning : Scikit-learn / XGBoost, suivi via MLflow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Exposition : FastAPI (API), Streamlit (dashboard)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Conteneurisation : Docker (pas Podman)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CI/CD : GitHub Actions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Structure de projet : Cookiecutter Data Science v2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Plan officiel du dossier</w:t>
      </w:r>
      <w:r w:rsidDel="00000000" w:rsidR="00000000" w:rsidRPr="00000000">
        <w:rPr>
          <w:rtl w:val="0"/>
        </w:rPr>
        <w:t xml:space="preserve"> (24 sections, réparties en 6 étapes techniques + intro/roadmap/conclusion) : 0. Page de garde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Introduction &amp; contexte (1.1 Contexte métier, 1.2 Objectifs, 1.3 Périmètre) — BC01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Étape 1 – Cadrage (2.1 Discovery, 2.2 Existant, 2.3 KPIs, 2.4 Veille techno/réglementaire, 2.5 SWOT &amp; PESTEL) — BC01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Étape 2 – Conception (3.1 MVP, 3.2 Architecture cible, 3.3 Contraintes transverses, 3.4 Challenge du MVP) — BC01/BC02/BC04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Étape 3 – Data Engineering (4.1 Sources de données, 4.2 Modélisation, 4.3 Pipeline ETL/ELT) — BC02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Étape 4 – Exploitation (5.1 Data visualisation, 5.2 Machine Learning) — BC02/BC03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Étape 5 – Mise en production (6.1 API, 6.2 Conteneurisation) — BC03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Étape 6 – DevOps (7.1 CI/CD, 7.2 Monitoring) — BC03/BC04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Roadmap &amp; pilotage (8.1 Roadmap produit, 8.2 Ressources, 8.3 Tests &amp; maintenance) — BC04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Lancement &amp; conduite du changement — BC04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Conclusion &amp; perspectives — BC01/BC04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Annexes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Conventions générales du projet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Rédaction toujours en français, niveau Bac+5, vocabulaire technique assumé.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Format prose structurée avec sous-parties (pas de simples listes à puces pour le corps du texte).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Diagrammes en SVG ou Mermaid pour les schémas d'architecture.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Code (Python, SQL, YAML) commenté, prêt à intégrer au dépôt.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Messages de commit Git en anglais</w:t>
      </w:r>
      <w:r w:rsidDel="00000000" w:rsidR="00000000" w:rsidRPr="00000000">
        <w:rPr>
          <w:rtl w:val="0"/>
        </w:rPr>
        <w:t xml:space="preserve"> (le reste (documentation, échanges) reste en français).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Architecture inspirée du pattern </w:t>
      </w:r>
      <w:r w:rsidDel="00000000" w:rsidR="00000000" w:rsidRPr="00000000">
        <w:rPr>
          <w:b w:val="1"/>
          <w:bCs w:val="1"/>
          <w:rtl w:val="0"/>
        </w:rPr>
        <w:t xml:space="preserve">Medallion</w:t>
      </w:r>
      <w:r w:rsidDel="00000000" w:rsidR="00000000" w:rsidRPr="00000000">
        <w:rPr>
          <w:rtl w:val="0"/>
        </w:rPr>
        <w:t xml:space="preserve"> (Bronze/Silver/Gold) : formulation à utiliser telle quelle pour rester rigoureux techniquement.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 mapping aux blocs RNCP (BC01-BC04) est porté par la structure et les annotations du dossier, jamais mentionné explicitement dans le corps du texte des sections.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Pas de tirets cadratins (—) dans la rédaction : virgules, points, parenthèses à la place.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jjfgx2xu8ex0" w:id="2"/>
      <w:bookmarkEnd w:id="2"/>
      <w:r w:rsidDel="00000000" w:rsidR="00000000" w:rsidRPr="00000000">
        <w:rPr>
          <w:rtl w:val="0"/>
        </w:rPr>
        <w:t xml:space="preserve">Qu'est-ce que c'est 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fil-rouge-rncp38919.html</w:t>
      </w:r>
      <w:r w:rsidDel="00000000" w:rsidR="00000000" w:rsidRPr="00000000">
        <w:rPr>
          <w:rtl w:val="0"/>
        </w:rPr>
        <w:t xml:space="preserve"> est une application autonome (artefact Claude, HTML/CSS/JS pur, sans dépendance externe fonctionnelle) qui sert d'espace de rédaction pour le dossier fil rouge RNCP38919 du projet </w:t>
      </w:r>
      <w:r w:rsidDel="00000000" w:rsidR="00000000" w:rsidRPr="00000000">
        <w:rPr>
          <w:b w:val="1"/>
          <w:bCs w:val="1"/>
          <w:rtl w:val="0"/>
        </w:rPr>
        <w:t xml:space="preserve">Churn Data Platform</w:t>
      </w:r>
      <w:r w:rsidDel="00000000" w:rsidR="00000000" w:rsidRPr="00000000">
        <w:rPr>
          <w:rtl w:val="0"/>
        </w:rPr>
        <w:t xml:space="preserve">. Elle est partagée entre Maëva et Alexandre.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Ce fichier est situé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claude/fil-rouge-rncp38919.html</w:t>
      </w:r>
      <w:r w:rsidDel="00000000" w:rsidR="00000000" w:rsidRPr="00000000">
        <w:rPr>
          <w:rtl w:val="0"/>
        </w:rPr>
        <w:t xml:space="preserve"> sur la branche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feature/artefact</w:t>
      </w:r>
      <w:r w:rsidDel="00000000" w:rsidR="00000000" w:rsidRPr="00000000">
        <w:rPr>
          <w:rtl w:val="0"/>
        </w:rPr>
        <w:t xml:space="preserve"> (branche isolée du reste du code, volontairement sans lien d'historique avec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upxuiljlsufe" w:id="3"/>
      <w:bookmarkEnd w:id="3"/>
      <w:r w:rsidDel="00000000" w:rsidR="00000000" w:rsidRPr="00000000">
        <w:rPr>
          <w:rtl w:val="0"/>
        </w:rPr>
        <w:t xml:space="preserve">Comment l'ouvrir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L'artefact doit être ouvert dans </w:t>
      </w:r>
      <w:r w:rsidDel="00000000" w:rsidR="00000000" w:rsidRPr="00000000">
        <w:rPr>
          <w:b w:val="1"/>
          <w:bCs w:val="1"/>
          <w:rtl w:val="0"/>
        </w:rPr>
        <w:t xml:space="preserve">Claude.ai</w:t>
      </w:r>
      <w:r w:rsidDel="00000000" w:rsidR="00000000" w:rsidRPr="00000000">
        <w:rPr>
          <w:rtl w:val="0"/>
        </w:rPr>
        <w:t xml:space="preserve"> (pas juste consulté comme fichier HTML statique dans un navigateur) pour que le stockage persistant fonctionne. Deux façons 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 publier depuis une conversation Claude (bouton "Publier"), et ouvrir le lien publié.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 coller/uploader dans une conversation Claude qui l'exécute en artefact interactif.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⚠️ Si tu ouvres juste le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.html</w:t>
      </w:r>
      <w:r w:rsidDel="00000000" w:rsidR="00000000" w:rsidRPr="00000000">
        <w:rPr>
          <w:rtl w:val="0"/>
        </w:rPr>
        <w:t xml:space="preserve"> en local dans un navigateur (double-clic), les fonctions de stockage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window.storage</w:t>
      </w:r>
      <w:r w:rsidDel="00000000" w:rsidR="00000000" w:rsidRPr="00000000">
        <w:rPr>
          <w:rtl w:val="0"/>
        </w:rPr>
        <w:t xml:space="preserve">) ne fonctionneront pas : c'est une API spécifique aux artefacts Claude, pas un stockage web classique.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pog00rx21mo5" w:id="4"/>
      <w:bookmarkEnd w:id="4"/>
      <w:r w:rsidDel="00000000" w:rsidR="00000000" w:rsidRPr="00000000">
        <w:rPr>
          <w:rtl w:val="0"/>
        </w:rPr>
        <w:t xml:space="preserve">Fonctionnement du stockage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Stockage partagé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shared: true</w:t>
      </w:r>
      <w:r w:rsidDel="00000000" w:rsidR="00000000" w:rsidRPr="00000000">
        <w:rPr>
          <w:rtl w:val="0"/>
        </w:rPr>
        <w:t xml:space="preserve">) : toi et Maëva voyez les mêmes données, à condition d'ouvrir le </w:t>
      </w:r>
      <w:r w:rsidDel="00000000" w:rsidR="00000000" w:rsidRPr="00000000">
        <w:rPr>
          <w:b w:val="1"/>
          <w:bCs w:val="1"/>
          <w:rtl w:val="0"/>
        </w:rPr>
        <w:t xml:space="preserve">même artefact publié</w:t>
      </w:r>
      <w:r w:rsidDel="00000000" w:rsidR="00000000" w:rsidRPr="00000000">
        <w:rPr>
          <w:rtl w:val="0"/>
        </w:rPr>
        <w:t xml:space="preserve"> (même lien). Si tu "remixes" ou dupliques l'artefact dans ton propre espace, tu obtiens une copie indépendante avec un stockage vide, déconnectée de celle de Maëva.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Une seule clé de stockage principale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filrouge-state</w:t>
      </w:r>
      <w:r w:rsidDel="00000000" w:rsidR="00000000" w:rsidRPr="00000000">
        <w:rPr>
          <w:rtl w:val="0"/>
        </w:rPr>
        <w:t xml:space="preserve">) contient tout : projet, sections du dossier, SWOT/PESTEL, dictionnaire de données. C'est un choix délibéré après plusieurs itérations : une architecture avec une clé par section avait été tentée puis abandonnée, car elle dépassait la limite de débit (rate limit) de l'API de stockage au chargement.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Conséquence pratique</w:t>
      </w:r>
      <w:r w:rsidDel="00000000" w:rsidR="00000000" w:rsidRPr="00000000">
        <w:rPr>
          <w:rtl w:val="0"/>
        </w:rPr>
        <w:t xml:space="preserve"> : si toi et Maëva éditez la </w:t>
      </w:r>
      <w:r w:rsidDel="00000000" w:rsidR="00000000" w:rsidRPr="00000000">
        <w:rPr>
          <w:b w:val="1"/>
          <w:bCs w:val="1"/>
          <w:rtl w:val="0"/>
        </w:rPr>
        <w:t xml:space="preserve">même section</w:t>
      </w:r>
      <w:r w:rsidDel="00000000" w:rsidR="00000000" w:rsidRPr="00000000">
        <w:rPr>
          <w:rtl w:val="0"/>
        </w:rPr>
        <w:t xml:space="preserve"> en même temps, le dernier enregistrement écrase l'autre. Éditer des sections différentes en parallèle ne pose pas de problème.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Images</w:t>
      </w:r>
      <w:r w:rsidDel="00000000" w:rsidR="00000000" w:rsidRPr="00000000">
        <w:rPr>
          <w:rtl w:val="0"/>
        </w:rPr>
        <w:t xml:space="preserve"> : stockées séparément, une clé par image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img:&lt;id&gt;</w:t>
      </w:r>
      <w:r w:rsidDel="00000000" w:rsidR="00000000" w:rsidRPr="00000000">
        <w:rPr>
          <w:rtl w:val="0"/>
        </w:rPr>
        <w:t xml:space="preserve">), référencées par leur id dans les métadonnées de chaque section. Limite de 5 Mo par image côté API, ~3,5 Mo appliquée côté app par sécurité.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pvyq6dgs1bnb" w:id="5"/>
      <w:bookmarkEnd w:id="5"/>
      <w:r w:rsidDel="00000000" w:rsidR="00000000" w:rsidRPr="00000000">
        <w:rPr>
          <w:rtl w:val="0"/>
        </w:rPr>
        <w:t xml:space="preserve">Structure de l'app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Tableau de bord</w:t>
      </w:r>
      <w:r w:rsidDel="00000000" w:rsidR="00000000" w:rsidRPr="00000000">
        <w:rPr>
          <w:rtl w:val="0"/>
        </w:rPr>
        <w:t xml:space="preserve"> : avancement global, couverture des blocs RNCP.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 projet</w:t>
      </w:r>
      <w:r w:rsidDel="00000000" w:rsidR="00000000" w:rsidRPr="00000000">
        <w:rPr>
          <w:rtl w:val="0"/>
        </w:rPr>
        <w:t xml:space="preserve"> : contexte projet (nom, domaine, binôme, stack, problématique).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Rédaction dossier</w:t>
      </w:r>
      <w:r w:rsidDel="00000000" w:rsidR="00000000" w:rsidRPr="00000000">
        <w:rPr>
          <w:rtl w:val="0"/>
        </w:rPr>
        <w:t xml:space="preserve"> : les 24 sections du plan officiel (voir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racine du repo), avec pour chacune :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un encart "Aide à la rédaction" (quoi couvrir, pièges à éviter, lien avec le livrable attendu),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un champ de texte principal,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une galerie d'images attachées.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SWOT &amp; PESTEL</w:t>
      </w:r>
      <w:r w:rsidDel="00000000" w:rsidR="00000000" w:rsidRPr="00000000">
        <w:rPr>
          <w:rtl w:val="0"/>
        </w:rPr>
        <w:t xml:space="preserve"> : grille éditable case par case, avec un bouton pour générer automatiquement des schémas visuels (SVG rasterisé en PNG) et les insérer comme images dans la section 2.5.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Dictionnaire de données</w:t>
      </w:r>
      <w:r w:rsidDel="00000000" w:rsidR="00000000" w:rsidRPr="00000000">
        <w:rPr>
          <w:rtl w:val="0"/>
        </w:rPr>
        <w:t xml:space="preserve"> : tableau éditable (table, champ, type, description, exemple).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Blocs de compétences</w:t>
      </w:r>
      <w:r w:rsidDel="00000000" w:rsidR="00000000" w:rsidRPr="00000000">
        <w:rPr>
          <w:rtl w:val="0"/>
        </w:rPr>
        <w:t xml:space="preserve"> : vue de couverture BC01 à BC04 selon les sections rédigées.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: trois formats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(texte brut),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.html</w:t>
      </w:r>
      <w:r w:rsidDel="00000000" w:rsidR="00000000" w:rsidRPr="00000000">
        <w:rPr>
          <w:rtl w:val="0"/>
        </w:rPr>
        <w:t xml:space="preserve"> (autonome, images incluses),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</w:t>
      </w:r>
      <w:r w:rsidDel="00000000" w:rsidR="00000000" w:rsidRPr="00000000">
        <w:rPr>
          <w:rtl w:val="0"/>
        </w:rPr>
        <w:t xml:space="preserve"> (Word-compatible, généré en HTML avec les balises Microsoft Office, images incluses).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1fjo8ajwboxd" w:id="6"/>
      <w:bookmarkEnd w:id="6"/>
      <w:r w:rsidDel="00000000" w:rsidR="00000000" w:rsidRPr="00000000">
        <w:rPr>
          <w:rtl w:val="0"/>
        </w:rPr>
        <w:t xml:space="preserve">Pourquoi pas de vrai 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tl w:val="0"/>
        </w:rPr>
        <w:t xml:space="preserve"> natif 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L'app tourne dans un </w:t>
      </w:r>
      <w:r w:rsidDel="00000000" w:rsidR="00000000" w:rsidRPr="00000000">
        <w:rPr>
          <w:b w:val="1"/>
          <w:bCs w:val="1"/>
          <w:rtl w:val="0"/>
        </w:rPr>
        <w:t xml:space="preserve">iframe sandboxé</w:t>
      </w:r>
      <w:r w:rsidDel="00000000" w:rsidR="00000000" w:rsidRPr="00000000">
        <w:rPr>
          <w:rtl w:val="0"/>
        </w:rPr>
        <w:t xml:space="preserve"> de Claude.ai qui bloque le chargement de scripts externes (ex. la librairie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docx.js</w:t>
      </w:r>
      <w:r w:rsidDel="00000000" w:rsidR="00000000" w:rsidRPr="00000000">
        <w:rPr>
          <w:rtl w:val="0"/>
        </w:rPr>
        <w:t xml:space="preserve"> via CDN). L'export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</w:t>
      </w:r>
      <w:r w:rsidDel="00000000" w:rsidR="00000000" w:rsidRPr="00000000">
        <w:rPr>
          <w:rtl w:val="0"/>
        </w:rPr>
        <w:t xml:space="preserve"> contourne ce problème en générant un document HTML avec les métadonnées Microsoft Word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xmlns:o=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xmlns:w=</w:t>
      </w:r>
      <w:r w:rsidDel="00000000" w:rsidR="00000000" w:rsidRPr="00000000">
        <w:rPr>
          <w:rtl w:val="0"/>
        </w:rPr>
        <w:t xml:space="preserve">), que Word/LibreOffice ouvrent nativement sans dépendance externe. Ce n'est pas un vrai fichier OOXML : si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tl w:val="0"/>
        </w:rPr>
        <w:t xml:space="preserve"> strict est nécessaire, ouvrir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</w:t>
      </w:r>
      <w:r w:rsidDel="00000000" w:rsidR="00000000" w:rsidRPr="00000000">
        <w:rPr>
          <w:rtl w:val="0"/>
        </w:rPr>
        <w:t xml:space="preserve"> dans Word et faire "Enregistrer sous → .docx".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ek0rxa4854dv" w:id="7"/>
      <w:bookmarkEnd w:id="7"/>
      <w:r w:rsidDel="00000000" w:rsidR="00000000" w:rsidRPr="00000000">
        <w:rPr>
          <w:rtl w:val="0"/>
        </w:rPr>
        <w:t xml:space="preserve">Conventions de rédaction à respecter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 de tirets cadratins (—)</w:t>
      </w:r>
      <w:r w:rsidDel="00000000" w:rsidR="00000000" w:rsidRPr="00000000">
        <w:rPr>
          <w:rtl w:val="0"/>
        </w:rPr>
        <w:t xml:space="preserve"> dans le texte rédigé : préférer virgules, points, parenthèses.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 de mention explicite des blocs RNCP (BC01-BC04) dans le corps du texte</w:t>
      </w:r>
      <w:r w:rsidDel="00000000" w:rsidR="00000000" w:rsidRPr="00000000">
        <w:rPr>
          <w:rtl w:val="0"/>
        </w:rPr>
        <w:t xml:space="preserve"> des sections : le mapping est déjà porté par la structure et les annotations de l'app.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Ton professionnel, niveau Bac+5, 300-600 mots par section (indicateur de couleur intégré : vert = dans la cible, orange = proche, rouge = hors cible ou vide).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gic0kmnuqu4j" w:id="8"/>
      <w:bookmarkEnd w:id="8"/>
      <w:r w:rsidDel="00000000" w:rsidR="00000000" w:rsidRPr="00000000">
        <w:rPr>
          <w:rtl w:val="0"/>
        </w:rPr>
        <w:t xml:space="preserve">Historique des bugs déjà rencontrés (pour éviter de les reproduire)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Migration d'architecture de stockage</w:t>
      </w:r>
      <w:r w:rsidDel="00000000" w:rsidR="00000000" w:rsidRPr="00000000">
        <w:rPr>
          <w:rtl w:val="0"/>
        </w:rPr>
        <w:t xml:space="preserve"> : une version antérieure utilisait une clé par section, causant des erreurs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 rate limit exceeded</w:t>
      </w:r>
      <w:r w:rsidDel="00000000" w:rsidR="00000000" w:rsidRPr="00000000">
        <w:rPr>
          <w:rtl w:val="0"/>
        </w:rPr>
        <w:t xml:space="preserve">. Corrigé en revenant à une seule clé globale.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Perte de contenu après une réécriture de fichier</w:t>
      </w:r>
      <w:r w:rsidDel="00000000" w:rsidR="00000000" w:rsidRPr="00000000">
        <w:rPr>
          <w:rtl w:val="0"/>
        </w:rPr>
        <w:t xml:space="preserve"> : si tu modifies la logique de sauvegarde, vérifie toujours qu'une section déjà rédigée reste lisible après rechargement avant de committer.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Vignettes d'images rognées</w:t>
      </w:r>
      <w:r w:rsidDel="00000000" w:rsidR="00000000" w:rsidRPr="00000000">
        <w:rPr>
          <w:rtl w:val="0"/>
        </w:rPr>
        <w:t xml:space="preserve"> : les schémas générés automatiquement (SWOT/PESTEL) utilisent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contain</w:t>
      </w:r>
      <w:r w:rsidDel="00000000" w:rsidR="00000000" w:rsidRPr="00000000">
        <w:rPr>
          <w:rtl w:val="0"/>
        </w:rPr>
        <w:t xml:space="preserve"> plutôt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</w:t>
      </w:r>
      <w:r w:rsidDel="00000000" w:rsidR="00000000" w:rsidRPr="00000000">
        <w:rPr>
          <w:rtl w:val="0"/>
        </w:rPr>
        <w:t xml:space="preserve">, car ce sont des schémas larges et non des photos.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ad6lzmtcuk7x" w:id="9"/>
      <w:bookmarkEnd w:id="9"/>
      <w:r w:rsidDel="00000000" w:rsidR="00000000" w:rsidRPr="00000000">
        <w:rPr>
          <w:rtl w:val="0"/>
        </w:rPr>
        <w:t xml:space="preserve">Autres ressources liées au projet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Dossier Google Drive du projet (roadmap Obsidian, comparatif technos, etc.)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Board Whimsical (roadmap visuelle + board de process A1-A11)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Designs Canva (SWOT, PESTEL en version illustrée)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Inter Medium" w:cs="Inter Medium" w:eastAsia="Inter Medium" w:hAnsi="Inter Medium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rFonts w:ascii="Inter Medium" w:cs="Inter Medium" w:eastAsia="Inter Medium" w:hAnsi="Inter Medium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