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0EE1" w14:textId="77777777" w:rsidR="000910FD" w:rsidRDefault="000910FD" w:rsidP="00B97832">
      <w:pPr>
        <w:jc w:val="both"/>
      </w:pPr>
    </w:p>
    <w:p w14:paraId="4070495A" w14:textId="77777777" w:rsidR="00310619" w:rsidRPr="00E21BDD" w:rsidRDefault="00310619" w:rsidP="00310619">
      <w:pPr>
        <w:spacing w:after="0" w:line="240" w:lineRule="auto"/>
        <w:jc w:val="center"/>
        <w:rPr>
          <w:rFonts w:eastAsia="Times New Roman" w:cs="Times New Roman"/>
          <w:spacing w:val="-5"/>
          <w:kern w:val="0"/>
          <w:position w:val="-4"/>
          <w:sz w:val="24"/>
          <w:szCs w:val="24"/>
          <w14:ligatures w14:val="none"/>
        </w:rPr>
      </w:pPr>
      <w:r w:rsidRPr="00E21BDD">
        <w:rPr>
          <w:rFonts w:eastAsia="Times New Roman" w:cs="Times New Roman"/>
          <w:spacing w:val="-10"/>
          <w:kern w:val="0"/>
          <w:sz w:val="24"/>
          <w:szCs w:val="24"/>
          <w14:ligatures w14:val="none"/>
        </w:rPr>
        <w:t xml:space="preserve">UNITED NATIONS   </w:t>
      </w:r>
      <w:r w:rsidRPr="00E21BDD">
        <w:rPr>
          <w:rFonts w:eastAsia="Times New Roman" w:cs="Times New Roman"/>
          <w:spacing w:val="-5"/>
          <w:kern w:val="0"/>
          <w:sz w:val="24"/>
          <w:szCs w:val="24"/>
          <w14:ligatures w14:val="none"/>
        </w:rPr>
        <w:t xml:space="preserve"> </w:t>
      </w:r>
      <w:r w:rsidRPr="00E21BDD">
        <w:rPr>
          <w:rFonts w:eastAsia="Calibri" w:cs="Times New Roman"/>
          <w:noProof/>
          <w:kern w:val="0"/>
          <w:sz w:val="24"/>
          <w:szCs w:val="24"/>
          <w14:ligatures w14:val="none"/>
        </w:rPr>
        <w:object w:dxaOrig="690" w:dyaOrig="585" w14:anchorId="56DB91AC">
          <v:rect id="rectole0000000000" o:spid="_x0000_i1025" style="width:35.5pt;height:30.5pt" o:ole="" o:preferrelative="t" stroked="f">
            <v:imagedata r:id="rId7" o:title=""/>
          </v:rect>
          <o:OLEObject Type="Embed" ProgID="StaticMetafile" ShapeID="rectole0000000000" DrawAspect="Content" ObjectID="_1817820869" r:id="rId8"/>
        </w:object>
      </w:r>
      <w:r w:rsidRPr="00E21BDD">
        <w:rPr>
          <w:rFonts w:eastAsia="Times New Roman" w:cs="Times New Roman"/>
          <w:kern w:val="0"/>
          <w:position w:val="-4"/>
          <w:sz w:val="24"/>
          <w:szCs w:val="24"/>
          <w14:ligatures w14:val="none"/>
        </w:rPr>
        <w:t xml:space="preserve">      </w:t>
      </w:r>
      <w:r w:rsidRPr="00E21BDD">
        <w:rPr>
          <w:rFonts w:eastAsia="Times New Roman" w:cs="Times New Roman"/>
          <w:spacing w:val="-10"/>
          <w:kern w:val="0"/>
          <w:position w:val="-4"/>
          <w:sz w:val="24"/>
          <w:szCs w:val="24"/>
          <w14:ligatures w14:val="none"/>
        </w:rPr>
        <w:t xml:space="preserve"> </w:t>
      </w:r>
      <w:r w:rsidRPr="00E21BDD">
        <w:rPr>
          <w:rFonts w:eastAsia="Times New Roman" w:cs="Times New Roman"/>
          <w:b/>
          <w:kern w:val="0"/>
          <w:position w:val="-4"/>
          <w:sz w:val="24"/>
          <w:szCs w:val="24"/>
          <w:rtl/>
          <w14:ligatures w14:val="none"/>
        </w:rPr>
        <w:t>ألأمم المتحدة</w:t>
      </w:r>
    </w:p>
    <w:p w14:paraId="2EBAE1AE" w14:textId="77777777" w:rsidR="00310619" w:rsidRPr="00E21BDD" w:rsidRDefault="00310619" w:rsidP="00310619">
      <w:pPr>
        <w:spacing w:after="0" w:line="240" w:lineRule="auto"/>
        <w:jc w:val="center"/>
        <w:rPr>
          <w:rFonts w:eastAsia="Times New Roman" w:cs="Times New Roman"/>
          <w:kern w:val="0"/>
          <w:sz w:val="24"/>
          <w:szCs w:val="24"/>
          <w14:ligatures w14:val="none"/>
        </w:rPr>
      </w:pPr>
      <w:r w:rsidRPr="00E21BDD">
        <w:rPr>
          <w:rFonts w:eastAsia="Times New Roman" w:cs="Times New Roman"/>
          <w:b/>
          <w:i/>
          <w:kern w:val="0"/>
          <w:sz w:val="24"/>
          <w:szCs w:val="24"/>
          <w14:ligatures w14:val="none"/>
        </w:rPr>
        <w:tab/>
      </w:r>
      <w:r w:rsidRPr="00E21BDD">
        <w:rPr>
          <w:rFonts w:eastAsia="Times New Roman" w:cs="Times New Roman"/>
          <w:kern w:val="0"/>
          <w:sz w:val="24"/>
          <w:szCs w:val="24"/>
          <w14:ligatures w14:val="none"/>
        </w:rPr>
        <w:t>United Nations Mission in South Sudan (UNMISS)</w:t>
      </w:r>
    </w:p>
    <w:p w14:paraId="52709DD6"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4563FB79" w14:textId="77777777" w:rsidR="00310619" w:rsidRPr="00E21BDD" w:rsidRDefault="00310619" w:rsidP="0031061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Human Rights Division (HRD)</w:t>
      </w:r>
    </w:p>
    <w:p w14:paraId="27B33DE8"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225AA4CE" w14:textId="77777777" w:rsidR="00310619" w:rsidRPr="00E21BDD" w:rsidRDefault="00310619" w:rsidP="0031061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Wau Field Office Daily Report</w:t>
      </w:r>
    </w:p>
    <w:p w14:paraId="0A713D2B"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3544554A" w14:textId="1676638C" w:rsidR="00310619" w:rsidRPr="009537B2" w:rsidRDefault="00310619" w:rsidP="00310619">
      <w:pPr>
        <w:spacing w:after="0" w:line="240" w:lineRule="auto"/>
        <w:jc w:val="center"/>
        <w:rPr>
          <w:rFonts w:eastAsia="Times New Roman" w:cs="Times New Roman"/>
          <w:b/>
          <w:kern w:val="0"/>
          <w:sz w:val="24"/>
          <w:szCs w:val="24"/>
          <w14:ligatures w14:val="none"/>
        </w:rPr>
      </w:pPr>
      <w:r w:rsidRPr="009537B2">
        <w:rPr>
          <w:rFonts w:eastAsia="Times New Roman" w:cs="Times New Roman"/>
          <w:b/>
          <w:kern w:val="0"/>
          <w:sz w:val="24"/>
          <w:szCs w:val="24"/>
          <w14:ligatures w14:val="none"/>
        </w:rPr>
        <w:t xml:space="preserve">Date: </w:t>
      </w:r>
      <w:r w:rsidR="00A2209F">
        <w:rPr>
          <w:rFonts w:eastAsia="Times New Roman" w:cs="Times New Roman"/>
          <w:b/>
          <w:kern w:val="0"/>
          <w:sz w:val="24"/>
          <w:szCs w:val="24"/>
          <w14:ligatures w14:val="none"/>
        </w:rPr>
        <w:t>27</w:t>
      </w:r>
      <w:r w:rsidRPr="009537B2">
        <w:rPr>
          <w:rFonts w:eastAsia="Times New Roman" w:cs="Times New Roman"/>
          <w:b/>
          <w:kern w:val="0"/>
          <w:sz w:val="24"/>
          <w:szCs w:val="24"/>
          <w14:ligatures w14:val="none"/>
        </w:rPr>
        <w:t>/0</w:t>
      </w:r>
      <w:r w:rsidR="00A2209F">
        <w:rPr>
          <w:rFonts w:eastAsia="Times New Roman" w:cs="Times New Roman"/>
          <w:b/>
          <w:kern w:val="0"/>
          <w:sz w:val="24"/>
          <w:szCs w:val="24"/>
          <w14:ligatures w14:val="none"/>
        </w:rPr>
        <w:t>8</w:t>
      </w:r>
      <w:r w:rsidRPr="009537B2">
        <w:rPr>
          <w:rFonts w:eastAsia="Times New Roman" w:cs="Times New Roman"/>
          <w:b/>
          <w:kern w:val="0"/>
          <w:sz w:val="24"/>
          <w:szCs w:val="24"/>
          <w14:ligatures w14:val="none"/>
        </w:rPr>
        <w:t>/2025</w:t>
      </w:r>
    </w:p>
    <w:p w14:paraId="1988DA57" w14:textId="77777777" w:rsidR="00310619" w:rsidRPr="009537B2" w:rsidRDefault="00310619" w:rsidP="00310619">
      <w:pPr>
        <w:spacing w:after="0" w:line="240" w:lineRule="auto"/>
        <w:jc w:val="both"/>
        <w:rPr>
          <w:rFonts w:eastAsia="Calibri" w:cs="Times New Roman"/>
          <w:kern w:val="0"/>
          <w:sz w:val="24"/>
          <w:szCs w:val="24"/>
          <w14:ligatures w14:val="none"/>
        </w:rPr>
      </w:pPr>
    </w:p>
    <w:p w14:paraId="322D0902" w14:textId="77777777" w:rsidR="00310619" w:rsidRDefault="00310619" w:rsidP="00310619">
      <w:pPr>
        <w:spacing w:after="0" w:line="240" w:lineRule="auto"/>
        <w:jc w:val="both"/>
        <w:rPr>
          <w:rFonts w:eastAsia="Palatino Linotype" w:cs="Times New Roman"/>
          <w:b/>
          <w:kern w:val="0"/>
          <w:sz w:val="24"/>
          <w:szCs w:val="24"/>
          <w14:ligatures w14:val="none"/>
        </w:rPr>
      </w:pPr>
      <w:r w:rsidRPr="009537B2">
        <w:rPr>
          <w:rFonts w:eastAsia="Palatino Linotype" w:cs="Times New Roman"/>
          <w:b/>
          <w:kern w:val="0"/>
          <w:sz w:val="24"/>
          <w:szCs w:val="24"/>
          <w14:ligatures w14:val="none"/>
        </w:rPr>
        <w:t>Highlights:</w:t>
      </w:r>
    </w:p>
    <w:p w14:paraId="5C2B395A" w14:textId="77777777" w:rsidR="00A2209F" w:rsidRDefault="00A2209F" w:rsidP="00310619">
      <w:pPr>
        <w:spacing w:after="0" w:line="240" w:lineRule="auto"/>
        <w:jc w:val="both"/>
        <w:rPr>
          <w:rFonts w:eastAsia="Palatino Linotype" w:cs="Times New Roman"/>
          <w:b/>
          <w:kern w:val="0"/>
          <w:sz w:val="24"/>
          <w:szCs w:val="24"/>
          <w14:ligatures w14:val="none"/>
        </w:rPr>
      </w:pPr>
    </w:p>
    <w:p w14:paraId="570E9E6F" w14:textId="0E2BD292" w:rsidR="00A2209F" w:rsidRPr="00A2209F" w:rsidRDefault="00A2209F" w:rsidP="00A2209F">
      <w:pPr>
        <w:pStyle w:val="ListParagraph"/>
        <w:numPr>
          <w:ilvl w:val="0"/>
          <w:numId w:val="4"/>
        </w:numPr>
        <w:spacing w:after="200" w:line="276" w:lineRule="auto"/>
        <w:rPr>
          <w:rFonts w:eastAsia="Palatino Linotype" w:cs="Times New Roman"/>
          <w:b/>
          <w:i/>
          <w:iCs/>
        </w:rPr>
      </w:pPr>
      <w:r w:rsidRPr="00A2209F">
        <w:rPr>
          <w:rFonts w:eastAsia="Palatino Linotype" w:cs="Times New Roman"/>
          <w:b/>
          <w:i/>
          <w:iCs/>
        </w:rPr>
        <w:t>HRD visited Wau North Town Customary Court and monitored the trial proceedings.</w:t>
      </w:r>
    </w:p>
    <w:p w14:paraId="6B49B52A" w14:textId="77777777" w:rsidR="00310619" w:rsidRPr="00500D01" w:rsidRDefault="00310619" w:rsidP="00310619">
      <w:pPr>
        <w:pStyle w:val="ListParagraph"/>
        <w:spacing w:line="252" w:lineRule="auto"/>
        <w:ind w:left="1440"/>
        <w:jc w:val="both"/>
        <w:rPr>
          <w:rFonts w:eastAsia="Calibri" w:cs="Times New Roman"/>
          <w:b/>
          <w:bCs/>
          <w:i/>
          <w:iCs/>
        </w:rPr>
      </w:pPr>
      <w:bookmarkStart w:id="0" w:name="_Hlk192524237"/>
    </w:p>
    <w:bookmarkEnd w:id="0"/>
    <w:p w14:paraId="05B80785" w14:textId="77777777" w:rsidR="00310619" w:rsidRPr="00582FB0" w:rsidRDefault="00310619" w:rsidP="00310619">
      <w:pPr>
        <w:pStyle w:val="ListParagraph"/>
        <w:numPr>
          <w:ilvl w:val="0"/>
          <w:numId w:val="2"/>
        </w:numPr>
        <w:jc w:val="both"/>
        <w:rPr>
          <w:rFonts w:asciiTheme="majorBidi" w:hAnsiTheme="majorBidi" w:cstheme="majorBidi"/>
          <w:b/>
          <w:bCs/>
        </w:rPr>
      </w:pPr>
      <w:r w:rsidRPr="00500D01">
        <w:rPr>
          <w:rFonts w:asciiTheme="majorBidi" w:hAnsiTheme="majorBidi" w:cstheme="majorBidi"/>
          <w:b/>
          <w:bCs/>
        </w:rPr>
        <w:t>Political and Security Updates</w:t>
      </w:r>
    </w:p>
    <w:p w14:paraId="00052527" w14:textId="77777777" w:rsidR="00310619" w:rsidRPr="002023C9" w:rsidRDefault="00310619" w:rsidP="00310619">
      <w:pPr>
        <w:numPr>
          <w:ilvl w:val="0"/>
          <w:numId w:val="2"/>
        </w:numPr>
        <w:spacing w:after="20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Human Rights in the Electoral Process </w:t>
      </w:r>
    </w:p>
    <w:p w14:paraId="606F069C" w14:textId="77777777" w:rsidR="00310619" w:rsidRPr="002023C9" w:rsidRDefault="00310619" w:rsidP="00310619">
      <w:pPr>
        <w:spacing w:after="200" w:line="240" w:lineRule="auto"/>
        <w:contextualSpacing/>
        <w:rPr>
          <w:rFonts w:eastAsia="Palatino Linotype" w:cs="Times New Roman"/>
          <w:b/>
          <w:kern w:val="0"/>
          <w:sz w:val="24"/>
          <w:szCs w:val="24"/>
          <w14:ligatures w14:val="none"/>
        </w:rPr>
      </w:pPr>
    </w:p>
    <w:p w14:paraId="1894F1D2" w14:textId="6068FAB8" w:rsidR="0031061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Violations/Abuses</w:t>
      </w:r>
    </w:p>
    <w:p w14:paraId="002ECCC0" w14:textId="77777777" w:rsidR="00310619" w:rsidRPr="00310619" w:rsidRDefault="00310619" w:rsidP="00310619">
      <w:pPr>
        <w:rPr>
          <w:rFonts w:eastAsia="Palatino Linotype" w:cs="Times New Roman"/>
          <w:b/>
          <w:kern w:val="0"/>
          <w:sz w:val="24"/>
          <w:szCs w:val="24"/>
          <w14:ligatures w14:val="none"/>
        </w:rPr>
      </w:pPr>
    </w:p>
    <w:p w14:paraId="1E7185DE"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Sexual Violence (CRSV)</w:t>
      </w:r>
    </w:p>
    <w:p w14:paraId="04295E42" w14:textId="77777777" w:rsidR="00310619" w:rsidRPr="002023C9" w:rsidRDefault="00310619" w:rsidP="00310619">
      <w:pPr>
        <w:spacing w:after="0" w:line="240" w:lineRule="auto"/>
        <w:ind w:left="284"/>
        <w:contextualSpacing/>
        <w:jc w:val="both"/>
        <w:rPr>
          <w:rFonts w:eastAsia="Palatino Linotype" w:cs="Times New Roman"/>
          <w:b/>
          <w:kern w:val="0"/>
          <w:sz w:val="24"/>
          <w:szCs w:val="24"/>
          <w14:ligatures w14:val="none"/>
        </w:rPr>
      </w:pPr>
    </w:p>
    <w:p w14:paraId="4211CC37"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Sexual and Gender-Based Violence (SGBV)</w:t>
      </w:r>
    </w:p>
    <w:p w14:paraId="3FD42356" w14:textId="77777777" w:rsidR="00310619" w:rsidRPr="002023C9" w:rsidRDefault="00310619" w:rsidP="00310619">
      <w:pPr>
        <w:spacing w:after="0" w:line="240" w:lineRule="auto"/>
        <w:jc w:val="both"/>
        <w:rPr>
          <w:rFonts w:eastAsia="Times New Roman" w:cs="Times New Roman"/>
          <w:i/>
          <w:iCs/>
          <w:kern w:val="0"/>
          <w:sz w:val="24"/>
          <w:szCs w:val="24"/>
          <w14:ligatures w14:val="none"/>
        </w:rPr>
      </w:pPr>
      <w:bookmarkStart w:id="1" w:name="_Hlk155890358"/>
    </w:p>
    <w:p w14:paraId="485C6D6A" w14:textId="77777777" w:rsidR="00310619" w:rsidRPr="002023C9" w:rsidRDefault="00310619" w:rsidP="00310619">
      <w:pPr>
        <w:numPr>
          <w:ilvl w:val="0"/>
          <w:numId w:val="2"/>
        </w:numPr>
        <w:spacing w:after="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Civic Space and Participation </w:t>
      </w:r>
    </w:p>
    <w:p w14:paraId="1CDE46D0" w14:textId="77777777" w:rsidR="00310619" w:rsidRPr="002023C9" w:rsidRDefault="00310619" w:rsidP="00310619">
      <w:pPr>
        <w:spacing w:after="0" w:line="240" w:lineRule="auto"/>
        <w:contextualSpacing/>
        <w:jc w:val="both"/>
        <w:rPr>
          <w:rFonts w:eastAsia="Palatino Linotype" w:cs="Times New Roman"/>
          <w:b/>
          <w:kern w:val="0"/>
          <w:sz w:val="24"/>
          <w:szCs w:val="24"/>
          <w14:ligatures w14:val="none"/>
        </w:rPr>
      </w:pPr>
    </w:p>
    <w:p w14:paraId="164F6219"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Judicial Accountability</w:t>
      </w:r>
    </w:p>
    <w:p w14:paraId="7E7305F6" w14:textId="77777777" w:rsidR="00310619" w:rsidRDefault="00310619" w:rsidP="00310619">
      <w:pPr>
        <w:spacing w:after="0" w:line="240" w:lineRule="auto"/>
        <w:rPr>
          <w:rFonts w:eastAsia="Palatino Linotype" w:cs="Times New Roman"/>
          <w:b/>
          <w:kern w:val="0"/>
          <w:sz w:val="24"/>
          <w:szCs w:val="24"/>
          <w14:ligatures w14:val="none"/>
        </w:rPr>
      </w:pPr>
    </w:p>
    <w:p w14:paraId="4BEFD475"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Transitional Justice</w:t>
      </w:r>
    </w:p>
    <w:p w14:paraId="4AB66E83" w14:textId="77777777" w:rsidR="00310619" w:rsidRPr="002023C9" w:rsidRDefault="00310619" w:rsidP="00310619">
      <w:pPr>
        <w:spacing w:after="0" w:line="240" w:lineRule="auto"/>
        <w:contextualSpacing/>
        <w:jc w:val="both"/>
        <w:rPr>
          <w:rFonts w:eastAsia="Palatino Linotype" w:cs="Times New Roman"/>
          <w:bCs/>
          <w:kern w:val="0"/>
          <w:sz w:val="24"/>
          <w:szCs w:val="24"/>
          <w14:ligatures w14:val="none"/>
        </w:rPr>
      </w:pPr>
    </w:p>
    <w:p w14:paraId="53BA618B" w14:textId="77777777" w:rsidR="0031061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Engagement and Capacity Building </w:t>
      </w:r>
    </w:p>
    <w:p w14:paraId="292E554B" w14:textId="77777777" w:rsidR="00A2209F" w:rsidRDefault="00A2209F" w:rsidP="00A2209F">
      <w:pPr>
        <w:pStyle w:val="ListParagraph"/>
        <w:rPr>
          <w:rFonts w:eastAsia="Palatino Linotype" w:cs="Times New Roman"/>
          <w:b/>
          <w:kern w:val="0"/>
          <w:sz w:val="24"/>
          <w:szCs w:val="24"/>
          <w14:ligatures w14:val="none"/>
        </w:rPr>
      </w:pPr>
    </w:p>
    <w:p w14:paraId="718AE44D" w14:textId="4DC8CEB5" w:rsidR="00A2209F" w:rsidRPr="00242F3D" w:rsidRDefault="00A2209F" w:rsidP="00A2209F">
      <w:pPr>
        <w:pStyle w:val="ListParagraph"/>
        <w:numPr>
          <w:ilvl w:val="0"/>
          <w:numId w:val="3"/>
        </w:numPr>
        <w:spacing w:after="200" w:line="276" w:lineRule="auto"/>
        <w:rPr>
          <w:rFonts w:eastAsia="Palatino Linotype" w:cs="Times New Roman"/>
          <w:b/>
          <w:i/>
          <w:iCs/>
        </w:rPr>
      </w:pPr>
      <w:r w:rsidRPr="00453094">
        <w:rPr>
          <w:rFonts w:eastAsia="Palatino Linotype" w:cs="Times New Roman"/>
          <w:b/>
          <w:i/>
          <w:iCs/>
        </w:rPr>
        <w:t>HRD</w:t>
      </w:r>
      <w:r>
        <w:rPr>
          <w:rFonts w:eastAsia="Palatino Linotype" w:cs="Times New Roman"/>
          <w:b/>
          <w:i/>
          <w:iCs/>
        </w:rPr>
        <w:t xml:space="preserve"> visited Wau North Town Customary Court and monitored the trial proceedings.</w:t>
      </w:r>
    </w:p>
    <w:p w14:paraId="786557CE" w14:textId="322E92C3" w:rsidR="00A2209F" w:rsidRPr="00242F3D" w:rsidRDefault="00A2209F" w:rsidP="00A2209F">
      <w:pPr>
        <w:spacing w:after="200" w:line="276" w:lineRule="auto"/>
        <w:jc w:val="both"/>
        <w:rPr>
          <w:rFonts w:eastAsia="Palatino Linotype" w:cs="Times New Roman"/>
          <w:bCs/>
        </w:rPr>
      </w:pPr>
      <w:r w:rsidRPr="00242F3D">
        <w:rPr>
          <w:rFonts w:eastAsia="Palatino Linotype" w:cs="Times New Roman"/>
          <w:bCs/>
        </w:rPr>
        <w:t>On 27 March 2025, HRD conducted a follow-up visit to the Wau North Town Customary Court as part of efforts to strengthen institutional capacity following the training organized for justice actors from 19 to 21 August 2025</w:t>
      </w:r>
      <w:r w:rsidR="0043266F">
        <w:rPr>
          <w:rFonts w:eastAsia="Palatino Linotype" w:cs="Times New Roman"/>
          <w:bCs/>
        </w:rPr>
        <w:t xml:space="preserve"> </w:t>
      </w:r>
      <w:r w:rsidR="0043266F" w:rsidRPr="0043266F">
        <w:rPr>
          <w:rFonts w:eastAsia="Palatino Linotype" w:cs="Times New Roman"/>
          <w:bCs/>
        </w:rPr>
        <w:t>on the role of penal justice actors in protecting human rights and ensuring justice, fair trial standards</w:t>
      </w:r>
      <w:r w:rsidR="0043266F">
        <w:rPr>
          <w:rFonts w:eastAsia="Palatino Linotype" w:cs="Times New Roman"/>
          <w:bCs/>
        </w:rPr>
        <w:t>,</w:t>
      </w:r>
      <w:r w:rsidR="0043266F" w:rsidRPr="0043266F">
        <w:rPr>
          <w:rFonts w:eastAsia="Palatino Linotype" w:cs="Times New Roman"/>
          <w:bCs/>
        </w:rPr>
        <w:t xml:space="preserve"> and accountability</w:t>
      </w:r>
      <w:r w:rsidRPr="0043266F">
        <w:rPr>
          <w:rFonts w:eastAsia="Palatino Linotype" w:cs="Times New Roman"/>
          <w:bCs/>
        </w:rPr>
        <w:t>.</w:t>
      </w:r>
      <w:r w:rsidRPr="00242F3D">
        <w:rPr>
          <w:rFonts w:eastAsia="Palatino Linotype" w:cs="Times New Roman"/>
          <w:bCs/>
        </w:rPr>
        <w:t xml:space="preserve"> During the visit, HRD met with the President of the Court to assess how the court operates in terms of ensuring fair trial standards and adherence to due process within its jurisdiction as provided by law.</w:t>
      </w:r>
    </w:p>
    <w:p w14:paraId="62E66129" w14:textId="3FC11BDB" w:rsidR="00A2209F" w:rsidRPr="00242F3D" w:rsidRDefault="00A2209F" w:rsidP="00A2209F">
      <w:pPr>
        <w:spacing w:after="200" w:line="276" w:lineRule="auto"/>
        <w:jc w:val="both"/>
        <w:rPr>
          <w:rFonts w:eastAsia="Palatino Linotype" w:cs="Times New Roman"/>
          <w:bCs/>
        </w:rPr>
      </w:pPr>
      <w:r w:rsidRPr="00242F3D">
        <w:rPr>
          <w:rFonts w:eastAsia="Palatino Linotype" w:cs="Times New Roman"/>
          <w:bCs/>
        </w:rPr>
        <w:t xml:space="preserve">The Court President welcomed </w:t>
      </w:r>
      <w:r w:rsidR="0043266F">
        <w:rPr>
          <w:rFonts w:eastAsia="Palatino Linotype" w:cs="Times New Roman"/>
          <w:bCs/>
        </w:rPr>
        <w:t xml:space="preserve">the </w:t>
      </w:r>
      <w:r w:rsidRPr="00242F3D">
        <w:rPr>
          <w:rFonts w:eastAsia="Palatino Linotype" w:cs="Times New Roman"/>
          <w:bCs/>
        </w:rPr>
        <w:t xml:space="preserve">HRD visit and expressed appreciation for the continuous support aimed at enhancing the court’s technical capacity in delivering justice to the community. He particularly highlighted the value of the training facilitated by HRD, which provided judges with additional knowledge </w:t>
      </w:r>
      <w:r w:rsidRPr="00242F3D">
        <w:rPr>
          <w:rFonts w:eastAsia="Palatino Linotype" w:cs="Times New Roman"/>
          <w:bCs/>
        </w:rPr>
        <w:lastRenderedPageBreak/>
        <w:t>on trial proceedings, fair trial standards, and access to justice. He further reiterated the court’s commitment to upholding fair trial guarantees in line with both national legislation and international human rights instruments.</w:t>
      </w:r>
    </w:p>
    <w:p w14:paraId="3B2A4E51" w14:textId="6E56724E" w:rsidR="00A2209F" w:rsidRPr="00242F3D" w:rsidRDefault="00A2209F" w:rsidP="00A2209F">
      <w:pPr>
        <w:spacing w:after="200" w:line="276" w:lineRule="auto"/>
        <w:jc w:val="both"/>
        <w:rPr>
          <w:rFonts w:eastAsia="Palatino Linotype" w:cs="Times New Roman"/>
          <w:bCs/>
        </w:rPr>
      </w:pPr>
      <w:r w:rsidRPr="00242F3D">
        <w:rPr>
          <w:rFonts w:eastAsia="Palatino Linotype" w:cs="Times New Roman"/>
          <w:bCs/>
        </w:rPr>
        <w:t>As part of the monitoring activity, HRD observed two trial proceedings</w:t>
      </w:r>
      <w:r w:rsidR="0043266F">
        <w:rPr>
          <w:rFonts w:eastAsia="Palatino Linotype" w:cs="Times New Roman"/>
          <w:bCs/>
        </w:rPr>
        <w:t>,</w:t>
      </w:r>
      <w:r>
        <w:rPr>
          <w:rFonts w:eastAsia="Palatino Linotype" w:cs="Times New Roman"/>
          <w:bCs/>
        </w:rPr>
        <w:t xml:space="preserve"> including a</w:t>
      </w:r>
      <w:r w:rsidRPr="00242F3D">
        <w:rPr>
          <w:rFonts w:eastAsia="Palatino Linotype" w:cs="Times New Roman"/>
          <w:bCs/>
        </w:rPr>
        <w:t xml:space="preserve"> case involving an NSS element accused of threatening to kill a civilian trader</w:t>
      </w:r>
      <w:r>
        <w:rPr>
          <w:rFonts w:eastAsia="Palatino Linotype" w:cs="Times New Roman"/>
          <w:bCs/>
        </w:rPr>
        <w:t xml:space="preserve"> and another </w:t>
      </w:r>
      <w:r w:rsidRPr="00242F3D">
        <w:rPr>
          <w:rFonts w:eastAsia="Palatino Linotype" w:cs="Times New Roman"/>
          <w:bCs/>
        </w:rPr>
        <w:t xml:space="preserve">divorce case. In both cases, HRD noted that parties were </w:t>
      </w:r>
      <w:r>
        <w:rPr>
          <w:rFonts w:eastAsia="Palatino Linotype" w:cs="Times New Roman"/>
          <w:bCs/>
        </w:rPr>
        <w:t>given</w:t>
      </w:r>
      <w:r w:rsidRPr="00242F3D">
        <w:rPr>
          <w:rFonts w:eastAsia="Palatino Linotype" w:cs="Times New Roman"/>
          <w:bCs/>
        </w:rPr>
        <w:t xml:space="preserve"> equal opportunities to present their </w:t>
      </w:r>
      <w:r>
        <w:rPr>
          <w:rFonts w:eastAsia="Palatino Linotype" w:cs="Times New Roman"/>
          <w:bCs/>
        </w:rPr>
        <w:t>cases</w:t>
      </w:r>
      <w:r w:rsidRPr="00242F3D">
        <w:rPr>
          <w:rFonts w:eastAsia="Palatino Linotype" w:cs="Times New Roman"/>
          <w:bCs/>
        </w:rPr>
        <w:t xml:space="preserve"> and were heard by the judge. The proceedings were conducted in public, in a language understood by all parties, and the court delivered its final verdict accordingly.</w:t>
      </w:r>
    </w:p>
    <w:p w14:paraId="402D6952" w14:textId="4239D5F9" w:rsidR="00A2209F" w:rsidRPr="00A2209F" w:rsidRDefault="00A2209F" w:rsidP="00A2209F">
      <w:pPr>
        <w:spacing w:after="200" w:line="276" w:lineRule="auto"/>
        <w:jc w:val="both"/>
        <w:rPr>
          <w:rFonts w:eastAsia="Palatino Linotype" w:cs="Times New Roman"/>
          <w:bCs/>
          <w:i/>
          <w:iCs/>
        </w:rPr>
      </w:pPr>
      <w:r w:rsidRPr="00242F3D">
        <w:rPr>
          <w:rFonts w:eastAsia="Palatino Linotype" w:cs="Times New Roman"/>
          <w:b/>
          <w:bCs/>
          <w:i/>
          <w:iCs/>
        </w:rPr>
        <w:t>Comments:</w:t>
      </w:r>
      <w:r w:rsidRPr="00242F3D">
        <w:rPr>
          <w:rFonts w:eastAsia="Palatino Linotype" w:cs="Times New Roman"/>
          <w:bCs/>
          <w:i/>
          <w:iCs/>
        </w:rPr>
        <w:t xml:space="preserve"> HRD will continue to conduct similar visits and monitoring activities in other institutions that participated in the training workshop. This forms part of HRD’s ongoing support to justice actors and provides a mechanism to assess the impact of capacity-building initiatives. Additionally, such monitoring helps identify remaining gaps and inform future interventions aimed at further strengthening the capacity of justice sector institutions.</w:t>
      </w:r>
    </w:p>
    <w:p w14:paraId="2DB8216C"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Other Key Human Rights and Protection Concerns</w:t>
      </w:r>
      <w:bookmarkEnd w:id="1"/>
    </w:p>
    <w:p w14:paraId="5E5857AC" w14:textId="77777777" w:rsidR="00310619" w:rsidRPr="00CC66E3" w:rsidRDefault="00310619" w:rsidP="00310619">
      <w:pPr>
        <w:spacing w:after="0" w:line="240" w:lineRule="auto"/>
        <w:jc w:val="both"/>
        <w:rPr>
          <w:rFonts w:eastAsia="Palatino Linotype" w:cs="Times New Roman"/>
          <w:bCs/>
          <w:kern w:val="0"/>
          <w:sz w:val="24"/>
          <w:szCs w:val="24"/>
          <w14:ligatures w14:val="none"/>
        </w:rPr>
      </w:pPr>
    </w:p>
    <w:p w14:paraId="2CC938A0" w14:textId="7190966C" w:rsidR="00E540F7" w:rsidRPr="00E6281D" w:rsidRDefault="00E540F7" w:rsidP="004D553A">
      <w:pPr>
        <w:jc w:val="both"/>
        <w:rPr>
          <w:i/>
          <w:iCs/>
        </w:rPr>
      </w:pPr>
    </w:p>
    <w:sectPr w:rsidR="00E540F7" w:rsidRPr="00E6281D">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8F88B" w14:textId="77777777" w:rsidR="00784AD3" w:rsidRDefault="00784AD3" w:rsidP="00AA4CE7">
      <w:pPr>
        <w:spacing w:after="0" w:line="240" w:lineRule="auto"/>
      </w:pPr>
      <w:r>
        <w:separator/>
      </w:r>
    </w:p>
  </w:endnote>
  <w:endnote w:type="continuationSeparator" w:id="0">
    <w:p w14:paraId="3ADE2CEE" w14:textId="77777777" w:rsidR="00784AD3" w:rsidRDefault="00784AD3" w:rsidP="00AA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1951" w14:textId="77777777" w:rsidR="00AA4CE7" w:rsidRDefault="00AA4CE7" w:rsidP="00AA4CE7">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5F5CEA54" w14:textId="086390BD" w:rsidR="00AA4CE7" w:rsidRDefault="00AA4CE7" w:rsidP="00AA4CE7">
    <w:pPr>
      <w:pStyle w:val="Footer"/>
    </w:pPr>
    <w:r w:rsidRPr="007D0996">
      <w:rPr>
        <w:rFonts w:cs="Times New Roman"/>
        <w:i/>
        <w:iCs/>
        <w:color w:val="0070C0"/>
        <w:sz w:val="20"/>
        <w:szCs w:val="20"/>
      </w:rPr>
      <w:t>202</w:t>
    </w:r>
    <w:r>
      <w:rPr>
        <w:rFonts w:cs="Times New Roman"/>
        <w:i/>
        <w:iCs/>
        <w:color w:val="0070C0"/>
        <w:sz w:val="20"/>
        <w:szCs w:val="20"/>
      </w:rPr>
      <w:t>5</w:t>
    </w:r>
    <w:r w:rsidR="00374B31">
      <w:rPr>
        <w:rFonts w:cs="Times New Roman"/>
        <w:i/>
        <w:iCs/>
        <w:color w:val="0070C0"/>
        <w:sz w:val="20"/>
        <w:szCs w:val="20"/>
      </w:rPr>
      <w:t>0</w:t>
    </w:r>
    <w:r w:rsidR="00A2209F">
      <w:rPr>
        <w:rFonts w:cs="Times New Roman"/>
        <w:i/>
        <w:iCs/>
        <w:color w:val="0070C0"/>
        <w:sz w:val="20"/>
        <w:szCs w:val="20"/>
      </w:rPr>
      <w:t xml:space="preserve">827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p w14:paraId="2D39396A" w14:textId="77777777" w:rsidR="00AA4CE7" w:rsidRDefault="00AA4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B4277" w14:textId="77777777" w:rsidR="00784AD3" w:rsidRDefault="00784AD3" w:rsidP="00AA4CE7">
      <w:pPr>
        <w:spacing w:after="0" w:line="240" w:lineRule="auto"/>
      </w:pPr>
      <w:r>
        <w:separator/>
      </w:r>
    </w:p>
  </w:footnote>
  <w:footnote w:type="continuationSeparator" w:id="0">
    <w:p w14:paraId="051A2979" w14:textId="77777777" w:rsidR="00784AD3" w:rsidRDefault="00784AD3" w:rsidP="00AA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1258A"/>
    <w:multiLevelType w:val="hybridMultilevel"/>
    <w:tmpl w:val="96BE6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A76A0C"/>
    <w:multiLevelType w:val="hybridMultilevel"/>
    <w:tmpl w:val="06D6A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2515D8"/>
    <w:multiLevelType w:val="hybridMultilevel"/>
    <w:tmpl w:val="A672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983775">
    <w:abstractNumId w:val="3"/>
  </w:num>
  <w:num w:numId="2" w16cid:durableId="939069266">
    <w:abstractNumId w:val="2"/>
  </w:num>
  <w:num w:numId="3" w16cid:durableId="1458135240">
    <w:abstractNumId w:val="1"/>
  </w:num>
  <w:num w:numId="4" w16cid:durableId="2022466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F7"/>
    <w:rsid w:val="000910FD"/>
    <w:rsid w:val="000A3A29"/>
    <w:rsid w:val="001829D2"/>
    <w:rsid w:val="002C41CD"/>
    <w:rsid w:val="00310619"/>
    <w:rsid w:val="00374B31"/>
    <w:rsid w:val="0043266F"/>
    <w:rsid w:val="004D553A"/>
    <w:rsid w:val="005A6786"/>
    <w:rsid w:val="006D0071"/>
    <w:rsid w:val="00702890"/>
    <w:rsid w:val="00784AD3"/>
    <w:rsid w:val="00A2209F"/>
    <w:rsid w:val="00AA4CE7"/>
    <w:rsid w:val="00B97832"/>
    <w:rsid w:val="00C82BC9"/>
    <w:rsid w:val="00CD30E0"/>
    <w:rsid w:val="00D97619"/>
    <w:rsid w:val="00DA1CA5"/>
    <w:rsid w:val="00DE021B"/>
    <w:rsid w:val="00E540F7"/>
    <w:rsid w:val="00E6281D"/>
    <w:rsid w:val="00EC602B"/>
    <w:rsid w:val="00FF45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18AA9"/>
  <w15:chartTrackingRefBased/>
  <w15:docId w15:val="{BC68B0D7-A496-4272-99C4-3DFE4D0D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619"/>
  </w:style>
  <w:style w:type="paragraph" w:styleId="Heading1">
    <w:name w:val="heading 1"/>
    <w:basedOn w:val="Normal"/>
    <w:next w:val="Normal"/>
    <w:link w:val="Heading1Char"/>
    <w:uiPriority w:val="9"/>
    <w:qFormat/>
    <w:rsid w:val="00E5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0F7"/>
    <w:pPr>
      <w:spacing w:before="160"/>
      <w:jc w:val="center"/>
    </w:pPr>
    <w:rPr>
      <w:i/>
      <w:iCs/>
      <w:color w:val="404040" w:themeColor="text1" w:themeTint="BF"/>
    </w:rPr>
  </w:style>
  <w:style w:type="character" w:customStyle="1" w:styleId="QuoteChar">
    <w:name w:val="Quote Char"/>
    <w:basedOn w:val="DefaultParagraphFont"/>
    <w:link w:val="Quote"/>
    <w:uiPriority w:val="29"/>
    <w:rsid w:val="00E540F7"/>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540F7"/>
    <w:pPr>
      <w:ind w:left="720"/>
      <w:contextualSpacing/>
    </w:pPr>
  </w:style>
  <w:style w:type="character" w:styleId="IntenseEmphasis">
    <w:name w:val="Intense Emphasis"/>
    <w:basedOn w:val="DefaultParagraphFont"/>
    <w:uiPriority w:val="21"/>
    <w:qFormat/>
    <w:rsid w:val="00E540F7"/>
    <w:rPr>
      <w:i/>
      <w:iCs/>
      <w:color w:val="0F4761" w:themeColor="accent1" w:themeShade="BF"/>
    </w:rPr>
  </w:style>
  <w:style w:type="paragraph" w:styleId="IntenseQuote">
    <w:name w:val="Intense Quote"/>
    <w:basedOn w:val="Normal"/>
    <w:next w:val="Normal"/>
    <w:link w:val="IntenseQuoteChar"/>
    <w:uiPriority w:val="30"/>
    <w:qFormat/>
    <w:rsid w:val="00E5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F7"/>
    <w:rPr>
      <w:i/>
      <w:iCs/>
      <w:color w:val="0F4761" w:themeColor="accent1" w:themeShade="BF"/>
    </w:rPr>
  </w:style>
  <w:style w:type="character" w:styleId="IntenseReference">
    <w:name w:val="Intense Reference"/>
    <w:basedOn w:val="DefaultParagraphFont"/>
    <w:uiPriority w:val="32"/>
    <w:qFormat/>
    <w:rsid w:val="00E540F7"/>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310619"/>
  </w:style>
  <w:style w:type="paragraph" w:styleId="Header">
    <w:name w:val="header"/>
    <w:basedOn w:val="Normal"/>
    <w:link w:val="HeaderChar"/>
    <w:uiPriority w:val="99"/>
    <w:unhideWhenUsed/>
    <w:rsid w:val="00AA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CE7"/>
  </w:style>
  <w:style w:type="paragraph" w:styleId="Footer">
    <w:name w:val="footer"/>
    <w:basedOn w:val="Normal"/>
    <w:link w:val="FooterChar"/>
    <w:uiPriority w:val="99"/>
    <w:unhideWhenUsed/>
    <w:rsid w:val="00AA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402</Words>
  <Characters>2312</Characters>
  <Application>Microsoft Office Word</Application>
  <DocSecurity>0</DocSecurity>
  <Lines>60</Lines>
  <Paragraphs>25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cp:revision>
  <dcterms:created xsi:type="dcterms:W3CDTF">2025-08-27T15:28:00Z</dcterms:created>
  <dcterms:modified xsi:type="dcterms:W3CDTF">2025-08-27T15:28:00Z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29213dd0-522b-4ef6-beb4-b1d13fd413cc</vt:lpwstr>
  </property>
</Properties>
</file>