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3785140"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22B5F428"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4D0F68">
        <w:rPr>
          <w:rFonts w:ascii="Times New Roman" w:eastAsia="Times New Roman" w:hAnsi="Times New Roman" w:cs="Times New Roman"/>
          <w:b/>
          <w:i/>
          <w:iCs/>
          <w:color w:val="4472C4" w:themeColor="accent1"/>
          <w:sz w:val="24"/>
          <w:szCs w:val="24"/>
        </w:rPr>
        <w:t>0</w:t>
      </w:r>
      <w:r w:rsidR="00CC2B01">
        <w:rPr>
          <w:rFonts w:ascii="Times New Roman" w:eastAsia="Times New Roman" w:hAnsi="Times New Roman" w:cs="Times New Roman"/>
          <w:b/>
          <w:i/>
          <w:iCs/>
          <w:color w:val="4472C4" w:themeColor="accent1"/>
          <w:sz w:val="24"/>
          <w:szCs w:val="24"/>
        </w:rPr>
        <w:t>4</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7CB1CD56" w14:textId="77777777" w:rsidR="00051E9D" w:rsidRPr="00051E9D" w:rsidRDefault="00051E9D" w:rsidP="00051E9D">
      <w:pPr>
        <w:pStyle w:val="ListParagraph"/>
        <w:numPr>
          <w:ilvl w:val="0"/>
          <w:numId w:val="24"/>
        </w:numPr>
        <w:spacing w:after="0" w:line="240" w:lineRule="auto"/>
        <w:rPr>
          <w:rFonts w:ascii="Times New Roman" w:eastAsia="Palatino Linotype" w:hAnsi="Times New Roman" w:cs="Times New Roman"/>
          <w:i/>
          <w:iCs/>
          <w:sz w:val="24"/>
          <w:szCs w:val="24"/>
        </w:rPr>
      </w:pPr>
      <w:r w:rsidRPr="00051E9D">
        <w:rPr>
          <w:rFonts w:ascii="Times New Roman" w:eastAsia="Palatino Linotype" w:hAnsi="Times New Roman" w:cs="Times New Roman"/>
          <w:i/>
          <w:iCs/>
          <w:sz w:val="24"/>
          <w:szCs w:val="24"/>
        </w:rPr>
        <w:t>HRD ongoing trial monitoring during Mobile Court in Bunj, Maban County</w:t>
      </w:r>
    </w:p>
    <w:p w14:paraId="52987A7F" w14:textId="77777777" w:rsidR="00051E9D" w:rsidRPr="00EA6B8C" w:rsidRDefault="00051E9D" w:rsidP="00051E9D">
      <w:pPr>
        <w:pStyle w:val="ListParagraph"/>
        <w:spacing w:line="240" w:lineRule="auto"/>
        <w:jc w:val="both"/>
        <w:rPr>
          <w:rFonts w:ascii="Times New Roman" w:hAnsi="Times New Roman" w:cs="Times New Roman"/>
          <w:i/>
          <w:iCs/>
          <w:sz w:val="24"/>
          <w:szCs w:val="24"/>
        </w:rPr>
      </w:pP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03996006"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3B081251" w:rsidR="00DB713E" w:rsidRPr="00830D9B"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w:t>
      </w:r>
      <w:r w:rsidR="00830D9B">
        <w:rPr>
          <w:rFonts w:ascii="Times New Roman" w:eastAsia="Palatino Linotype" w:hAnsi="Times New Roman" w:cs="Times New Roman"/>
          <w:b/>
          <w:bCs/>
          <w:sz w:val="24"/>
          <w:szCs w:val="24"/>
        </w:rPr>
        <w:t>–</w:t>
      </w:r>
    </w:p>
    <w:p w14:paraId="5B712D19" w14:textId="77777777" w:rsidR="007137BA" w:rsidRDefault="007137BA" w:rsidP="00830D9B">
      <w:pPr>
        <w:spacing w:after="0" w:line="240" w:lineRule="auto"/>
        <w:contextualSpacing/>
        <w:jc w:val="both"/>
        <w:rPr>
          <w:rFonts w:ascii="Times New Roman" w:eastAsia="Palatino Linotype" w:hAnsi="Times New Roman" w:cs="Times New Roman"/>
          <w:sz w:val="24"/>
          <w:szCs w:val="24"/>
        </w:rPr>
      </w:pPr>
    </w:p>
    <w:p w14:paraId="416948FE" w14:textId="62933469" w:rsidR="004E3490" w:rsidRPr="00146831" w:rsidRDefault="004E3490" w:rsidP="004E3490">
      <w:pPr>
        <w:spacing w:after="0" w:line="240" w:lineRule="auto"/>
        <w:contextualSpacing/>
        <w:rPr>
          <w:rFonts w:ascii="Times New Roman" w:eastAsia="Palatino Linotype" w:hAnsi="Times New Roman" w:cs="Times New Roman"/>
          <w:b/>
          <w:bCs/>
          <w:i/>
          <w:iCs/>
          <w:sz w:val="24"/>
          <w:szCs w:val="24"/>
        </w:rPr>
      </w:pPr>
      <w:r w:rsidRPr="00146831">
        <w:rPr>
          <w:rFonts w:ascii="Times New Roman" w:eastAsia="Palatino Linotype" w:hAnsi="Times New Roman" w:cs="Times New Roman"/>
          <w:b/>
          <w:bCs/>
          <w:i/>
          <w:iCs/>
          <w:sz w:val="24"/>
          <w:szCs w:val="24"/>
        </w:rPr>
        <w:t xml:space="preserve">HRD </w:t>
      </w:r>
      <w:r w:rsidR="00051E9D">
        <w:rPr>
          <w:rFonts w:ascii="Times New Roman" w:eastAsia="Palatino Linotype" w:hAnsi="Times New Roman" w:cs="Times New Roman"/>
          <w:b/>
          <w:bCs/>
          <w:i/>
          <w:iCs/>
          <w:sz w:val="24"/>
          <w:szCs w:val="24"/>
        </w:rPr>
        <w:t>ongoing</w:t>
      </w:r>
      <w:r w:rsidR="00BE750E">
        <w:rPr>
          <w:rFonts w:ascii="Times New Roman" w:eastAsia="Palatino Linotype" w:hAnsi="Times New Roman" w:cs="Times New Roman"/>
          <w:b/>
          <w:bCs/>
          <w:i/>
          <w:iCs/>
          <w:sz w:val="24"/>
          <w:szCs w:val="24"/>
        </w:rPr>
        <w:t xml:space="preserve"> trial monitoring during Mobile Court in Bunj, Maban County</w:t>
      </w:r>
    </w:p>
    <w:p w14:paraId="4675F8B0" w14:textId="77777777" w:rsidR="00BE750E" w:rsidRDefault="00BE750E" w:rsidP="004E3490">
      <w:pPr>
        <w:spacing w:after="0" w:line="240" w:lineRule="auto"/>
        <w:contextualSpacing/>
        <w:jc w:val="both"/>
        <w:rPr>
          <w:rFonts w:asciiTheme="majorBidi" w:eastAsia="Palatino Linotype" w:hAnsiTheme="majorBidi" w:cstheme="majorBidi"/>
          <w:sz w:val="24"/>
          <w:szCs w:val="24"/>
        </w:rPr>
      </w:pPr>
    </w:p>
    <w:p w14:paraId="13967C3F" w14:textId="1FD6A66C" w:rsidR="00BE750E" w:rsidRPr="00BE750E" w:rsidRDefault="00BE750E" w:rsidP="00BE750E">
      <w:pPr>
        <w:spacing w:after="0" w:line="240" w:lineRule="auto"/>
        <w:contextualSpacing/>
        <w:jc w:val="both"/>
        <w:rPr>
          <w:rFonts w:asciiTheme="majorBidi" w:eastAsia="Palatino Linotype" w:hAnsiTheme="majorBidi" w:cstheme="majorBidi"/>
          <w:sz w:val="24"/>
          <w:szCs w:val="24"/>
        </w:rPr>
      </w:pPr>
      <w:r w:rsidRPr="00BE750E">
        <w:rPr>
          <w:rFonts w:asciiTheme="majorBidi" w:eastAsia="Palatino Linotype" w:hAnsiTheme="majorBidi" w:cstheme="majorBidi"/>
          <w:sz w:val="24"/>
          <w:szCs w:val="24"/>
        </w:rPr>
        <w:t>HRD continue</w:t>
      </w:r>
      <w:r w:rsidR="000A1D38">
        <w:rPr>
          <w:rFonts w:asciiTheme="majorBidi" w:eastAsia="Palatino Linotype" w:hAnsiTheme="majorBidi" w:cstheme="majorBidi"/>
          <w:sz w:val="24"/>
          <w:szCs w:val="24"/>
        </w:rPr>
        <w:t>s</w:t>
      </w:r>
      <w:r w:rsidRPr="00BE750E">
        <w:rPr>
          <w:rFonts w:asciiTheme="majorBidi" w:eastAsia="Palatino Linotype" w:hAnsiTheme="majorBidi" w:cstheme="majorBidi"/>
          <w:sz w:val="24"/>
          <w:szCs w:val="24"/>
        </w:rPr>
        <w:t xml:space="preserve"> to monitor trials and sessions of the ongoing Mobile Court in Bunj</w:t>
      </w:r>
      <w:r w:rsidR="00EA636D">
        <w:rPr>
          <w:rFonts w:asciiTheme="majorBidi" w:eastAsia="Palatino Linotype" w:hAnsiTheme="majorBidi" w:cstheme="majorBidi"/>
          <w:sz w:val="24"/>
          <w:szCs w:val="24"/>
        </w:rPr>
        <w:t xml:space="preserve"> which commenced on 24 October</w:t>
      </w:r>
      <w:r w:rsidRPr="00BE750E">
        <w:rPr>
          <w:rFonts w:asciiTheme="majorBidi" w:eastAsia="Palatino Linotype" w:hAnsiTheme="majorBidi" w:cstheme="majorBidi"/>
          <w:sz w:val="24"/>
          <w:szCs w:val="24"/>
        </w:rPr>
        <w:t>. A total of 15 cases were handled on 3 and 4 November 2025 (6 and 9 respectively). The cases monitored</w:t>
      </w:r>
      <w:r w:rsidR="00EA636D">
        <w:rPr>
          <w:rFonts w:asciiTheme="majorBidi" w:eastAsia="Palatino Linotype" w:hAnsiTheme="majorBidi" w:cstheme="majorBidi"/>
          <w:sz w:val="24"/>
          <w:szCs w:val="24"/>
        </w:rPr>
        <w:t xml:space="preserve"> involved</w:t>
      </w:r>
      <w:r w:rsidRPr="00BE750E">
        <w:rPr>
          <w:rFonts w:asciiTheme="majorBidi" w:eastAsia="Palatino Linotype" w:hAnsiTheme="majorBidi" w:cstheme="majorBidi"/>
          <w:sz w:val="24"/>
          <w:szCs w:val="24"/>
        </w:rPr>
        <w:t xml:space="preserve"> matters of murder and rape, with three convictions delivered on 4 November.</w:t>
      </w:r>
    </w:p>
    <w:p w14:paraId="0F293DDB" w14:textId="77777777" w:rsidR="00BE750E" w:rsidRPr="00BE750E" w:rsidRDefault="00BE750E" w:rsidP="00BE750E">
      <w:pPr>
        <w:spacing w:after="0" w:line="240" w:lineRule="auto"/>
        <w:contextualSpacing/>
        <w:jc w:val="both"/>
        <w:rPr>
          <w:rFonts w:asciiTheme="majorBidi" w:eastAsia="Palatino Linotype" w:hAnsiTheme="majorBidi" w:cstheme="majorBidi"/>
          <w:sz w:val="24"/>
          <w:szCs w:val="24"/>
        </w:rPr>
      </w:pPr>
    </w:p>
    <w:p w14:paraId="3AB36A6C" w14:textId="3B128E6B" w:rsidR="00BE750E" w:rsidRPr="00BE750E" w:rsidRDefault="00BE750E" w:rsidP="00503F7D">
      <w:pPr>
        <w:spacing w:after="0" w:line="240" w:lineRule="auto"/>
        <w:contextualSpacing/>
        <w:jc w:val="both"/>
        <w:rPr>
          <w:rFonts w:asciiTheme="majorBidi" w:eastAsia="Palatino Linotype" w:hAnsiTheme="majorBidi" w:cstheme="majorBidi"/>
          <w:sz w:val="24"/>
          <w:szCs w:val="24"/>
        </w:rPr>
      </w:pPr>
      <w:r w:rsidRPr="00BE750E">
        <w:rPr>
          <w:rFonts w:asciiTheme="majorBidi" w:eastAsia="Palatino Linotype" w:hAnsiTheme="majorBidi" w:cstheme="majorBidi"/>
          <w:sz w:val="24"/>
          <w:szCs w:val="24"/>
        </w:rPr>
        <w:t>In the first rape case, the accused was convicted under Section 247 of the South Sudan Penal Code Act, 2008. The court sentenced the convict to two years’ imprisonment, effective from the date of arrest on 21 November 2023, and imposed a fine of SSP 500,000. In default of payment, the convict will serve an additional six months’ imprisonment.</w:t>
      </w:r>
      <w:r w:rsidR="00503F7D">
        <w:rPr>
          <w:rFonts w:asciiTheme="majorBidi" w:eastAsia="Palatino Linotype" w:hAnsiTheme="majorBidi" w:cstheme="majorBidi"/>
          <w:sz w:val="24"/>
          <w:szCs w:val="24"/>
        </w:rPr>
        <w:t xml:space="preserve"> </w:t>
      </w:r>
      <w:r w:rsidRPr="00BE750E">
        <w:rPr>
          <w:rFonts w:asciiTheme="majorBidi" w:eastAsia="Palatino Linotype" w:hAnsiTheme="majorBidi" w:cstheme="majorBidi"/>
          <w:sz w:val="24"/>
          <w:szCs w:val="24"/>
        </w:rPr>
        <w:t>In the second case, the accused was convicted under Section 210(1) A/B of the Penal Code Act, 2008, and sentenced to three years’ imprisonment from the date of arrest on 19 October 2022, along with a fine of SSP 1,000,000. Failure to pay the fine will result in an additional two years’ imprisonment. Furthermore, the court ordered the convict to pay 21 head of cattle as blood compensation in accordance with Mabanese customary law.</w:t>
      </w:r>
      <w:r w:rsidR="00503F7D">
        <w:rPr>
          <w:rFonts w:asciiTheme="majorBidi" w:eastAsia="Palatino Linotype" w:hAnsiTheme="majorBidi" w:cstheme="majorBidi"/>
          <w:sz w:val="24"/>
          <w:szCs w:val="24"/>
        </w:rPr>
        <w:t xml:space="preserve"> </w:t>
      </w:r>
      <w:r w:rsidRPr="00BE750E">
        <w:rPr>
          <w:rFonts w:asciiTheme="majorBidi" w:eastAsia="Palatino Linotype" w:hAnsiTheme="majorBidi" w:cstheme="majorBidi"/>
          <w:sz w:val="24"/>
          <w:szCs w:val="24"/>
        </w:rPr>
        <w:t xml:space="preserve">In the third murder case, under Section 206 of the Penal Code Act, 2008, the parties, who are members of the same family, reconciled and agreed to forgive the accused for killing his cousin. Considering the reconciliation and settlement reached, the court sentenced the convict to three years’ imprisonment effective from 21 December 2021 </w:t>
      </w:r>
      <w:r w:rsidRPr="00BE750E">
        <w:rPr>
          <w:rFonts w:asciiTheme="majorBidi" w:eastAsia="Palatino Linotype" w:hAnsiTheme="majorBidi" w:cstheme="majorBidi"/>
          <w:sz w:val="24"/>
          <w:szCs w:val="24"/>
        </w:rPr>
        <w:lastRenderedPageBreak/>
        <w:t>and imposed a fine of SSP 1,000,000; in default, the convict will serve an additional two years’ imprisonment.</w:t>
      </w:r>
    </w:p>
    <w:p w14:paraId="1006933E" w14:textId="77777777" w:rsidR="00BE750E" w:rsidRPr="00BE750E" w:rsidRDefault="00BE750E" w:rsidP="00BE750E">
      <w:pPr>
        <w:spacing w:after="0" w:line="240" w:lineRule="auto"/>
        <w:contextualSpacing/>
        <w:jc w:val="both"/>
        <w:rPr>
          <w:rFonts w:asciiTheme="majorBidi" w:eastAsia="Palatino Linotype" w:hAnsiTheme="majorBidi" w:cstheme="majorBidi"/>
          <w:sz w:val="24"/>
          <w:szCs w:val="24"/>
        </w:rPr>
      </w:pPr>
    </w:p>
    <w:p w14:paraId="2F1BF113" w14:textId="0146BC9B" w:rsidR="00BE750E" w:rsidRDefault="00BE750E" w:rsidP="00881B56">
      <w:pPr>
        <w:spacing w:after="0" w:line="240" w:lineRule="auto"/>
        <w:contextualSpacing/>
        <w:jc w:val="both"/>
        <w:rPr>
          <w:rFonts w:asciiTheme="majorBidi" w:eastAsia="Palatino Linotype" w:hAnsiTheme="majorBidi" w:cstheme="majorBidi"/>
          <w:sz w:val="24"/>
          <w:szCs w:val="24"/>
        </w:rPr>
      </w:pPr>
      <w:r w:rsidRPr="00BE750E">
        <w:rPr>
          <w:rFonts w:asciiTheme="majorBidi" w:eastAsia="Palatino Linotype" w:hAnsiTheme="majorBidi" w:cstheme="majorBidi"/>
          <w:sz w:val="24"/>
          <w:szCs w:val="24"/>
        </w:rPr>
        <w:t>HRD observed that parties to the cases had legal representation, and a social counselor was engaged to provide psychosocial support where needed. Both convicts and complainants, as well as other interested parties, were informed of the judgments and advised of their right to appeal within the legal time frame. Translators were present to facilitate communication and ensure understanding of proceedings.</w:t>
      </w:r>
      <w:r w:rsidR="00881B56">
        <w:rPr>
          <w:rFonts w:asciiTheme="majorBidi" w:eastAsia="Palatino Linotype" w:hAnsiTheme="majorBidi" w:cstheme="majorBidi"/>
          <w:sz w:val="24"/>
          <w:szCs w:val="24"/>
        </w:rPr>
        <w:t xml:space="preserve"> </w:t>
      </w:r>
      <w:r w:rsidRPr="00BE750E">
        <w:rPr>
          <w:rFonts w:asciiTheme="majorBidi" w:eastAsia="Palatino Linotype" w:hAnsiTheme="majorBidi" w:cstheme="majorBidi"/>
          <w:sz w:val="24"/>
          <w:szCs w:val="24"/>
        </w:rPr>
        <w:t>HRD continue</w:t>
      </w:r>
      <w:r w:rsidR="00441C5C">
        <w:rPr>
          <w:rFonts w:asciiTheme="majorBidi" w:eastAsia="Palatino Linotype" w:hAnsiTheme="majorBidi" w:cstheme="majorBidi"/>
          <w:sz w:val="24"/>
          <w:szCs w:val="24"/>
        </w:rPr>
        <w:t>s</w:t>
      </w:r>
      <w:r w:rsidRPr="00BE750E">
        <w:rPr>
          <w:rFonts w:asciiTheme="majorBidi" w:eastAsia="Palatino Linotype" w:hAnsiTheme="majorBidi" w:cstheme="majorBidi"/>
          <w:sz w:val="24"/>
          <w:szCs w:val="24"/>
        </w:rPr>
        <w:t xml:space="preserve"> to extend support by providing transportation and access to the court for victims, witnesses, and complainants.</w:t>
      </w:r>
    </w:p>
    <w:p w14:paraId="479C5E23" w14:textId="77777777" w:rsidR="00881B56" w:rsidRDefault="00881B56" w:rsidP="00881B56">
      <w:pPr>
        <w:spacing w:after="0" w:line="240" w:lineRule="auto"/>
        <w:contextualSpacing/>
        <w:jc w:val="both"/>
        <w:rPr>
          <w:rFonts w:asciiTheme="majorBidi" w:eastAsia="Palatino Linotype" w:hAnsiTheme="majorBidi" w:cstheme="majorBidi"/>
          <w:sz w:val="24"/>
          <w:szCs w:val="24"/>
        </w:rPr>
      </w:pPr>
    </w:p>
    <w:p w14:paraId="6B166A50" w14:textId="018C3646" w:rsidR="00881B56" w:rsidRPr="00BE750E" w:rsidRDefault="00881B56" w:rsidP="00881B56">
      <w:pPr>
        <w:spacing w:after="0" w:line="240" w:lineRule="auto"/>
        <w:contextualSpacing/>
        <w:jc w:val="both"/>
        <w:rPr>
          <w:rFonts w:asciiTheme="majorBidi" w:eastAsia="Palatino Linotype" w:hAnsiTheme="majorBidi" w:cstheme="majorBidi"/>
          <w:i/>
          <w:iCs/>
          <w:sz w:val="24"/>
          <w:szCs w:val="24"/>
        </w:rPr>
      </w:pPr>
      <w:r w:rsidRPr="00881B56">
        <w:rPr>
          <w:rFonts w:asciiTheme="majorBidi" w:eastAsia="Palatino Linotype" w:hAnsiTheme="majorBidi" w:cstheme="majorBidi"/>
          <w:b/>
          <w:bCs/>
          <w:i/>
          <w:iCs/>
          <w:sz w:val="24"/>
          <w:szCs w:val="24"/>
        </w:rPr>
        <w:t>NB:</w:t>
      </w:r>
      <w:r w:rsidRPr="00881B56">
        <w:rPr>
          <w:rFonts w:asciiTheme="majorBidi" w:eastAsia="Palatino Linotype" w:hAnsiTheme="majorBidi" w:cstheme="majorBidi"/>
          <w:i/>
          <w:iCs/>
          <w:sz w:val="24"/>
          <w:szCs w:val="24"/>
        </w:rPr>
        <w:t xml:space="preserve"> A comprehensive report will be shared upon conclusion of the Mobile Court on 21 November 2025.</w:t>
      </w:r>
    </w:p>
    <w:p w14:paraId="7EF1C237" w14:textId="436C54EC" w:rsidR="00DB713E" w:rsidRPr="00C70763" w:rsidRDefault="00DB713E" w:rsidP="00881B56">
      <w:pPr>
        <w:spacing w:after="0" w:line="240" w:lineRule="auto"/>
        <w:contextualSpacing/>
        <w:jc w:val="both"/>
        <w:rPr>
          <w:rFonts w:asciiTheme="majorBidi" w:eastAsia="Palatino Linotype" w:hAnsiTheme="majorBidi" w:cstheme="majorBidi"/>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67DF88B7" w:rsidR="00DE7FDF" w:rsidRPr="0015180D" w:rsidRDefault="00F64818" w:rsidP="0015180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15180D">
        <w:rPr>
          <w:rFonts w:ascii="Times New Roman" w:eastAsia="Palatino Linotype" w:hAnsi="Times New Roman" w:cs="Times New Roman"/>
          <w:b/>
          <w:sz w:val="24"/>
          <w:szCs w:val="24"/>
        </w:rPr>
        <w:t xml:space="preserve">- </w:t>
      </w:r>
      <w:r w:rsidR="0015180D" w:rsidRPr="00A061E9">
        <w:rPr>
          <w:rFonts w:ascii="Times New Roman" w:eastAsia="Palatino Linotype" w:hAnsi="Times New Roman" w:cs="Times New Roman"/>
          <w:bCs/>
          <w:i/>
          <w:iCs/>
          <w:sz w:val="24"/>
          <w:szCs w:val="24"/>
        </w:rPr>
        <w:t>NSTR</w:t>
      </w:r>
    </w:p>
    <w:p w14:paraId="197F1FC2" w14:textId="77777777" w:rsidR="006B1594" w:rsidRDefault="006B1594" w:rsidP="006B1594">
      <w:pPr>
        <w:spacing w:after="0" w:line="240" w:lineRule="auto"/>
        <w:contextualSpacing/>
        <w:jc w:val="both"/>
        <w:rPr>
          <w:rFonts w:ascii="Times New Roman" w:eastAsia="Palatino Linotype" w:hAnsi="Times New Roman" w:cs="Times New Roman"/>
          <w:b/>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1"/>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3760" w14:textId="77777777" w:rsidR="008F5655" w:rsidRDefault="008F5655" w:rsidP="00182875">
      <w:pPr>
        <w:spacing w:after="0" w:line="240" w:lineRule="auto"/>
      </w:pPr>
      <w:r>
        <w:separator/>
      </w:r>
    </w:p>
  </w:endnote>
  <w:endnote w:type="continuationSeparator" w:id="0">
    <w:p w14:paraId="17A34D00" w14:textId="77777777" w:rsidR="008F5655" w:rsidRDefault="008F565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28DA4" w14:textId="77777777" w:rsidR="008F5655" w:rsidRDefault="008F5655" w:rsidP="00182875">
      <w:pPr>
        <w:spacing w:after="0" w:line="240" w:lineRule="auto"/>
      </w:pPr>
      <w:r>
        <w:separator/>
      </w:r>
    </w:p>
  </w:footnote>
  <w:footnote w:type="continuationSeparator" w:id="0">
    <w:p w14:paraId="75CABAA5" w14:textId="77777777" w:rsidR="008F5655" w:rsidRDefault="008F565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9137B"/>
    <w:rsid w:val="00191A3C"/>
    <w:rsid w:val="00191E4B"/>
    <w:rsid w:val="001A1DB0"/>
    <w:rsid w:val="001A341D"/>
    <w:rsid w:val="001B2F6E"/>
    <w:rsid w:val="001B7FCB"/>
    <w:rsid w:val="001C01BF"/>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5D0B"/>
    <w:rsid w:val="006519F3"/>
    <w:rsid w:val="00655E91"/>
    <w:rsid w:val="00657E07"/>
    <w:rsid w:val="00660788"/>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4425C"/>
    <w:rsid w:val="00944B33"/>
    <w:rsid w:val="00944FB5"/>
    <w:rsid w:val="00952A42"/>
    <w:rsid w:val="009532B0"/>
    <w:rsid w:val="00955454"/>
    <w:rsid w:val="00956E6F"/>
    <w:rsid w:val="00957403"/>
    <w:rsid w:val="00960EFA"/>
    <w:rsid w:val="00961119"/>
    <w:rsid w:val="00962F80"/>
    <w:rsid w:val="00963055"/>
    <w:rsid w:val="00977E72"/>
    <w:rsid w:val="00980C6D"/>
    <w:rsid w:val="00983F61"/>
    <w:rsid w:val="00985226"/>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17"/>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10</cp:revision>
  <dcterms:created xsi:type="dcterms:W3CDTF">2025-11-04T15:54:00Z</dcterms:created>
  <dcterms:modified xsi:type="dcterms:W3CDTF">2025-11-04T16:11:00Z</dcterms:modified>
</cp:coreProperties>
</file>