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4382090"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35DA7AF5" w:rsidR="00F64818" w:rsidRPr="00FC061F" w:rsidRDefault="00B145D6"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1</w:t>
      </w:r>
      <w:r w:rsidR="00E36892">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w:t>
      </w:r>
      <w:r w:rsidR="00B93BE5">
        <w:rPr>
          <w:rFonts w:ascii="Times New Roman" w:eastAsia="Times New Roman" w:hAnsi="Times New Roman" w:cs="Times New Roman"/>
          <w:b/>
          <w:sz w:val="24"/>
          <w:szCs w:val="24"/>
        </w:rPr>
        <w:t>11</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4C14E2D9" w14:textId="77777777" w:rsidR="00E36892" w:rsidRPr="00E36892" w:rsidRDefault="00E36892" w:rsidP="00E36892">
      <w:pPr>
        <w:pStyle w:val="ListParagraph"/>
        <w:numPr>
          <w:ilvl w:val="0"/>
          <w:numId w:val="15"/>
        </w:numPr>
        <w:spacing w:after="0" w:line="240" w:lineRule="auto"/>
        <w:jc w:val="both"/>
        <w:rPr>
          <w:rFonts w:asciiTheme="majorBidi" w:hAnsiTheme="majorBidi" w:cstheme="majorBidi"/>
          <w:i/>
          <w:iCs/>
        </w:rPr>
      </w:pPr>
      <w:r w:rsidRPr="00E36892">
        <w:rPr>
          <w:rFonts w:asciiTheme="majorBidi" w:hAnsiTheme="majorBidi" w:cstheme="majorBidi"/>
          <w:i/>
          <w:iCs/>
        </w:rPr>
        <w:t>HRD makes submissions to SG Annual  Report to UN  SC on CRSV  - January to December 2025</w:t>
      </w:r>
    </w:p>
    <w:p w14:paraId="584F8CC0" w14:textId="77777777" w:rsidR="00E36892" w:rsidRPr="00E36892" w:rsidRDefault="00E36892" w:rsidP="00E36892">
      <w:pPr>
        <w:spacing w:after="0" w:line="240" w:lineRule="auto"/>
        <w:jc w:val="both"/>
        <w:rPr>
          <w:rFonts w:asciiTheme="majorBidi" w:hAnsiTheme="majorBidi" w:cstheme="majorBidi"/>
          <w:i/>
          <w:iCs/>
        </w:rPr>
      </w:pPr>
    </w:p>
    <w:p w14:paraId="332A0F74" w14:textId="3E3B78B3" w:rsidR="00317446" w:rsidRPr="00B3654E"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449C86FF" w14:textId="77777777" w:rsidR="00514D36" w:rsidRDefault="00514D36" w:rsidP="00260A53">
      <w:pPr>
        <w:spacing w:after="0" w:line="240" w:lineRule="auto"/>
        <w:jc w:val="both"/>
        <w:rPr>
          <w:rFonts w:ascii="Times New Roman" w:eastAsia="Palatino Linotype" w:hAnsi="Times New Roman" w:cs="Times New Roman"/>
          <w:i/>
          <w:iCs/>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5EBC8BEF" w:rsidR="00071992" w:rsidRPr="00263A71" w:rsidRDefault="00B145D6" w:rsidP="00B145D6">
      <w:pPr>
        <w:tabs>
          <w:tab w:val="left" w:pos="7500"/>
        </w:tabs>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ab/>
      </w: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9F661F1" w14:textId="77777777" w:rsidR="00383A22"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55D1F9AD" w14:textId="73EB73B7" w:rsidR="00234285" w:rsidRDefault="00234285" w:rsidP="00E36892">
      <w:pPr>
        <w:spacing w:after="0" w:line="240" w:lineRule="auto"/>
        <w:ind w:left="284"/>
        <w:contextualSpacing/>
        <w:jc w:val="both"/>
        <w:rPr>
          <w:rFonts w:ascii="Times New Roman" w:eastAsia="Palatino Linotype" w:hAnsi="Times New Roman" w:cs="Times New Roman"/>
          <w:b/>
          <w:sz w:val="24"/>
          <w:szCs w:val="24"/>
        </w:rPr>
      </w:pPr>
    </w:p>
    <w:p w14:paraId="27BC0A7F" w14:textId="77777777" w:rsidR="00E36892" w:rsidRDefault="00E36892" w:rsidP="00234285">
      <w:pPr>
        <w:spacing w:after="0" w:line="240" w:lineRule="auto"/>
        <w:ind w:left="-76"/>
        <w:contextualSpacing/>
        <w:jc w:val="both"/>
        <w:rPr>
          <w:rFonts w:ascii="Times New Roman" w:eastAsia="Palatino Linotype" w:hAnsi="Times New Roman" w:cs="Times New Roman"/>
          <w:b/>
          <w:sz w:val="24"/>
          <w:szCs w:val="24"/>
        </w:rPr>
      </w:pPr>
    </w:p>
    <w:p w14:paraId="55914A7B" w14:textId="60F95084" w:rsidR="00E36892" w:rsidRPr="00E36892" w:rsidRDefault="00E36892" w:rsidP="00E36892">
      <w:pPr>
        <w:spacing w:after="0" w:line="240" w:lineRule="auto"/>
        <w:jc w:val="both"/>
        <w:rPr>
          <w:rFonts w:asciiTheme="majorBidi" w:hAnsiTheme="majorBidi" w:cstheme="majorBidi"/>
          <w:u w:val="single"/>
        </w:rPr>
      </w:pPr>
      <w:r w:rsidRPr="00E36892">
        <w:rPr>
          <w:rFonts w:asciiTheme="majorBidi" w:hAnsiTheme="majorBidi" w:cstheme="majorBidi"/>
          <w:u w:val="single"/>
        </w:rPr>
        <w:t>HRD makes submission</w:t>
      </w:r>
      <w:r>
        <w:rPr>
          <w:rFonts w:asciiTheme="majorBidi" w:hAnsiTheme="majorBidi" w:cstheme="majorBidi"/>
          <w:u w:val="single"/>
        </w:rPr>
        <w:t>s</w:t>
      </w:r>
      <w:r w:rsidRPr="00E36892">
        <w:rPr>
          <w:rFonts w:asciiTheme="majorBidi" w:hAnsiTheme="majorBidi" w:cstheme="majorBidi"/>
          <w:u w:val="single"/>
        </w:rPr>
        <w:t xml:space="preserve"> to</w:t>
      </w:r>
      <w:r w:rsidRPr="00E36892">
        <w:rPr>
          <w:rFonts w:asciiTheme="majorBidi" w:hAnsiTheme="majorBidi" w:cstheme="majorBidi"/>
          <w:u w:val="single"/>
        </w:rPr>
        <w:t xml:space="preserve"> </w:t>
      </w:r>
      <w:r w:rsidRPr="00E36892">
        <w:rPr>
          <w:rFonts w:asciiTheme="majorBidi" w:hAnsiTheme="majorBidi" w:cstheme="majorBidi"/>
          <w:u w:val="single"/>
        </w:rPr>
        <w:t xml:space="preserve">SG Annual  Report </w:t>
      </w:r>
      <w:r w:rsidRPr="00E36892">
        <w:rPr>
          <w:rFonts w:asciiTheme="majorBidi" w:hAnsiTheme="majorBidi" w:cstheme="majorBidi"/>
          <w:u w:val="single"/>
        </w:rPr>
        <w:t xml:space="preserve">to UN  SC on </w:t>
      </w:r>
      <w:r w:rsidRPr="00E36892">
        <w:rPr>
          <w:rFonts w:asciiTheme="majorBidi" w:hAnsiTheme="majorBidi" w:cstheme="majorBidi"/>
          <w:u w:val="single"/>
        </w:rPr>
        <w:t xml:space="preserve">CRSV </w:t>
      </w:r>
      <w:r w:rsidRPr="00E36892">
        <w:rPr>
          <w:rFonts w:asciiTheme="majorBidi" w:hAnsiTheme="majorBidi" w:cstheme="majorBidi"/>
          <w:u w:val="single"/>
        </w:rPr>
        <w:t xml:space="preserve"> - </w:t>
      </w:r>
      <w:r w:rsidRPr="00E36892">
        <w:rPr>
          <w:rFonts w:asciiTheme="majorBidi" w:hAnsiTheme="majorBidi" w:cstheme="majorBidi"/>
          <w:u w:val="single"/>
        </w:rPr>
        <w:t>January to December 2025</w:t>
      </w:r>
    </w:p>
    <w:p w14:paraId="41E32C65" w14:textId="77777777" w:rsidR="00E36892" w:rsidRPr="00E36892" w:rsidRDefault="00E36892" w:rsidP="00E36892">
      <w:pPr>
        <w:spacing w:after="0" w:line="240" w:lineRule="auto"/>
        <w:jc w:val="both"/>
        <w:rPr>
          <w:rFonts w:asciiTheme="majorBidi" w:hAnsiTheme="majorBidi" w:cstheme="majorBidi"/>
          <w:u w:val="single"/>
        </w:rPr>
      </w:pPr>
    </w:p>
    <w:p w14:paraId="432B051E" w14:textId="5864BB44" w:rsidR="00E36892" w:rsidRPr="008B43F7" w:rsidRDefault="00E36892" w:rsidP="00E36892">
      <w:pPr>
        <w:spacing w:after="0" w:line="240" w:lineRule="auto"/>
        <w:jc w:val="both"/>
        <w:rPr>
          <w:rFonts w:asciiTheme="majorBidi" w:hAnsiTheme="majorBidi" w:cstheme="majorBidi"/>
        </w:rPr>
      </w:pPr>
      <w:r w:rsidRPr="008B43F7">
        <w:rPr>
          <w:rFonts w:asciiTheme="majorBidi" w:hAnsiTheme="majorBidi" w:cstheme="majorBidi"/>
        </w:rPr>
        <w:t xml:space="preserve">11 November 2025, HRD attended an online meeting with the Women’s Protection Advisory Unit (WPAU) to provide inputs </w:t>
      </w:r>
      <w:r>
        <w:rPr>
          <w:rFonts w:asciiTheme="majorBidi" w:hAnsiTheme="majorBidi" w:cstheme="majorBidi"/>
        </w:rPr>
        <w:t xml:space="preserve">(submissions) </w:t>
      </w:r>
      <w:r w:rsidRPr="008B43F7">
        <w:rPr>
          <w:rFonts w:asciiTheme="majorBidi" w:hAnsiTheme="majorBidi" w:cstheme="majorBidi"/>
        </w:rPr>
        <w:t xml:space="preserve">for the Secretary General’s Annual Report on Conflict Related Sexual Violence (CRSV), which will be published in the first quarter of 2026 and will cover the period January – December 2025. The report also recommends strategic actions to the Security Council and Member States to address </w:t>
      </w:r>
      <w:r>
        <w:rPr>
          <w:rFonts w:asciiTheme="majorBidi" w:hAnsiTheme="majorBidi" w:cstheme="majorBidi"/>
        </w:rPr>
        <w:t>CRSV</w:t>
      </w:r>
      <w:r w:rsidRPr="008B43F7">
        <w:rPr>
          <w:rFonts w:asciiTheme="majorBidi" w:hAnsiTheme="majorBidi" w:cstheme="majorBidi"/>
        </w:rPr>
        <w:t xml:space="preserve">. The meeting was also attended by field offices from Juba and Wau. </w:t>
      </w:r>
    </w:p>
    <w:p w14:paraId="64703559" w14:textId="77777777" w:rsidR="00E36892" w:rsidRPr="008B43F7" w:rsidRDefault="00E36892" w:rsidP="00E36892">
      <w:pPr>
        <w:spacing w:after="0" w:line="240" w:lineRule="auto"/>
        <w:jc w:val="both"/>
        <w:rPr>
          <w:rFonts w:asciiTheme="majorBidi" w:hAnsiTheme="majorBidi" w:cstheme="majorBidi"/>
        </w:rPr>
      </w:pPr>
    </w:p>
    <w:p w14:paraId="3FBB9549" w14:textId="6CB0FBB0" w:rsidR="00E36892" w:rsidRPr="008B43F7" w:rsidRDefault="00E36892" w:rsidP="00E36892">
      <w:pPr>
        <w:spacing w:after="0" w:line="240" w:lineRule="auto"/>
        <w:jc w:val="both"/>
        <w:rPr>
          <w:rFonts w:asciiTheme="majorBidi" w:hAnsiTheme="majorBidi" w:cstheme="majorBidi"/>
        </w:rPr>
      </w:pPr>
      <w:r w:rsidRPr="008B43F7">
        <w:rPr>
          <w:rFonts w:asciiTheme="majorBidi" w:hAnsiTheme="majorBidi" w:cstheme="majorBidi"/>
        </w:rPr>
        <w:t>While addressing their own specific context, there were also some challenges common to all three (3) field offices such as legal and cultural barriers that lead to underreporting</w:t>
      </w:r>
      <w:r>
        <w:rPr>
          <w:rFonts w:asciiTheme="majorBidi" w:hAnsiTheme="majorBidi" w:cstheme="majorBidi"/>
        </w:rPr>
        <w:t xml:space="preserve"> of sexual violence</w:t>
      </w:r>
      <w:r w:rsidRPr="008B43F7">
        <w:rPr>
          <w:rFonts w:asciiTheme="majorBidi" w:hAnsiTheme="majorBidi" w:cstheme="majorBidi"/>
        </w:rPr>
        <w:t xml:space="preserve">, threats or coercion against survivors of sexual violence, and insufficient institutional support for survivors. Survivors do not approach formal justice mechanisms because they do not trust that </w:t>
      </w:r>
      <w:r>
        <w:rPr>
          <w:rFonts w:asciiTheme="majorBidi" w:hAnsiTheme="majorBidi" w:cstheme="majorBidi"/>
        </w:rPr>
        <w:t xml:space="preserve">actors such as </w:t>
      </w:r>
      <w:r w:rsidRPr="008B43F7">
        <w:rPr>
          <w:rFonts w:asciiTheme="majorBidi" w:hAnsiTheme="majorBidi" w:cstheme="majorBidi"/>
        </w:rPr>
        <w:t xml:space="preserve">police officers will respect the confidentiality of the </w:t>
      </w:r>
      <w:r>
        <w:rPr>
          <w:rFonts w:asciiTheme="majorBidi" w:hAnsiTheme="majorBidi" w:cstheme="majorBidi"/>
        </w:rPr>
        <w:t xml:space="preserve">information they are reporting. Police officers also </w:t>
      </w:r>
      <w:r w:rsidRPr="008B43F7">
        <w:rPr>
          <w:rFonts w:asciiTheme="majorBidi" w:hAnsiTheme="majorBidi" w:cstheme="majorBidi"/>
        </w:rPr>
        <w:t xml:space="preserve">lack the requisite training to </w:t>
      </w:r>
      <w:r>
        <w:rPr>
          <w:rFonts w:asciiTheme="majorBidi" w:hAnsiTheme="majorBidi" w:cstheme="majorBidi"/>
        </w:rPr>
        <w:t xml:space="preserve">mainstream a survivor </w:t>
      </w:r>
      <w:r>
        <w:rPr>
          <w:rFonts w:asciiTheme="majorBidi" w:hAnsiTheme="majorBidi" w:cstheme="majorBidi"/>
        </w:rPr>
        <w:t>centered</w:t>
      </w:r>
      <w:r>
        <w:rPr>
          <w:rFonts w:asciiTheme="majorBidi" w:hAnsiTheme="majorBidi" w:cstheme="majorBidi"/>
        </w:rPr>
        <w:t xml:space="preserve"> approach to</w:t>
      </w:r>
      <w:r w:rsidRPr="008B43F7">
        <w:rPr>
          <w:rFonts w:asciiTheme="majorBidi" w:hAnsiTheme="majorBidi" w:cstheme="majorBidi"/>
        </w:rPr>
        <w:t xml:space="preserve"> such sensitive cases. Furthermore, formal mechanisms such as courts may not exist in many remote areas</w:t>
      </w:r>
      <w:r>
        <w:rPr>
          <w:rFonts w:asciiTheme="majorBidi" w:hAnsiTheme="majorBidi" w:cstheme="majorBidi"/>
        </w:rPr>
        <w:t xml:space="preserve"> or the distance to reach courts may prove prohibitive to many survivors</w:t>
      </w:r>
      <w:r w:rsidRPr="008B43F7">
        <w:rPr>
          <w:rFonts w:asciiTheme="majorBidi" w:hAnsiTheme="majorBidi" w:cstheme="majorBidi"/>
        </w:rPr>
        <w:t xml:space="preserve">. Even when survivors approach such mechanisms, they may be subject to reprisals, threats or intimidation from the perpetrator or their respective communities. Finally, there aren’t enough One Stop </w:t>
      </w:r>
      <w:r w:rsidRPr="008B43F7">
        <w:rPr>
          <w:rFonts w:asciiTheme="majorBidi" w:hAnsiTheme="majorBidi" w:cstheme="majorBidi"/>
        </w:rPr>
        <w:t>Centers</w:t>
      </w:r>
      <w:r w:rsidRPr="008B43F7">
        <w:rPr>
          <w:rFonts w:asciiTheme="majorBidi" w:hAnsiTheme="majorBidi" w:cstheme="majorBidi"/>
        </w:rPr>
        <w:t xml:space="preserve"> or civil society organizations that support survivors. For example, Northern Bahr </w:t>
      </w:r>
      <w:proofErr w:type="spellStart"/>
      <w:r w:rsidRPr="008B43F7">
        <w:rPr>
          <w:rFonts w:asciiTheme="majorBidi" w:hAnsiTheme="majorBidi" w:cstheme="majorBidi"/>
        </w:rPr>
        <w:t>el</w:t>
      </w:r>
      <w:proofErr w:type="spellEnd"/>
      <w:r w:rsidRPr="008B43F7">
        <w:rPr>
          <w:rFonts w:asciiTheme="majorBidi" w:hAnsiTheme="majorBidi" w:cstheme="majorBidi"/>
        </w:rPr>
        <w:t xml:space="preserve"> Ghazal (NBeG) only has two (2) One Stop </w:t>
      </w:r>
      <w:r w:rsidRPr="008B43F7">
        <w:rPr>
          <w:rFonts w:asciiTheme="majorBidi" w:hAnsiTheme="majorBidi" w:cstheme="majorBidi"/>
        </w:rPr>
        <w:t>Centers</w:t>
      </w:r>
      <w:r w:rsidRPr="008B43F7">
        <w:rPr>
          <w:rFonts w:asciiTheme="majorBidi" w:hAnsiTheme="majorBidi" w:cstheme="majorBidi"/>
        </w:rPr>
        <w:t xml:space="preserve">, and only one (1) of them functions effectively. </w:t>
      </w:r>
    </w:p>
    <w:p w14:paraId="1A5AF853" w14:textId="77777777" w:rsidR="00E36892" w:rsidRPr="008B43F7" w:rsidRDefault="00E36892" w:rsidP="00E36892">
      <w:pPr>
        <w:spacing w:after="0" w:line="240" w:lineRule="auto"/>
        <w:jc w:val="both"/>
        <w:rPr>
          <w:rFonts w:asciiTheme="majorBidi" w:hAnsiTheme="majorBidi" w:cstheme="majorBidi"/>
        </w:rPr>
      </w:pPr>
    </w:p>
    <w:p w14:paraId="2EF543B9" w14:textId="77777777" w:rsidR="00E36892" w:rsidRPr="008B43F7" w:rsidRDefault="00E36892" w:rsidP="00E36892">
      <w:pPr>
        <w:spacing w:after="0" w:line="240" w:lineRule="auto"/>
        <w:jc w:val="both"/>
        <w:rPr>
          <w:rFonts w:asciiTheme="majorBidi" w:hAnsiTheme="majorBidi" w:cstheme="majorBidi"/>
        </w:rPr>
      </w:pPr>
      <w:r w:rsidRPr="008B43F7">
        <w:rPr>
          <w:rFonts w:asciiTheme="majorBidi" w:hAnsiTheme="majorBidi" w:cstheme="majorBidi"/>
        </w:rPr>
        <w:t xml:space="preserve">The Aweil FO highlighted lack of access to the Mile-14 as a key impediment to effectively monitoring and reporting on CRSV. The area remains a blind spot. The FO also explained the continued influx of returnees and refugees into NBeG due to the conflict in Sudan. These displaced civilians are subjected to sexual violence by armed groups and civilian elements either in Sudan or in border areas as they are fleeing </w:t>
      </w:r>
      <w:r>
        <w:rPr>
          <w:rFonts w:asciiTheme="majorBidi" w:hAnsiTheme="majorBidi" w:cstheme="majorBidi"/>
        </w:rPr>
        <w:t xml:space="preserve">into South </w:t>
      </w:r>
      <w:r w:rsidRPr="008B43F7">
        <w:rPr>
          <w:rFonts w:asciiTheme="majorBidi" w:hAnsiTheme="majorBidi" w:cstheme="majorBidi"/>
        </w:rPr>
        <w:t xml:space="preserve">Sudan. </w:t>
      </w:r>
    </w:p>
    <w:p w14:paraId="1233D332" w14:textId="77777777" w:rsidR="00E36892" w:rsidRPr="008B43F7" w:rsidRDefault="00E36892" w:rsidP="00E36892">
      <w:pPr>
        <w:spacing w:after="0" w:line="240" w:lineRule="auto"/>
        <w:jc w:val="both"/>
        <w:rPr>
          <w:rFonts w:asciiTheme="majorBidi" w:hAnsiTheme="majorBidi" w:cstheme="majorBidi"/>
        </w:rPr>
      </w:pPr>
    </w:p>
    <w:p w14:paraId="1A04FBF7" w14:textId="6939E779" w:rsidR="00E36892" w:rsidRDefault="00E36892" w:rsidP="00234285">
      <w:pPr>
        <w:spacing w:after="0" w:line="240" w:lineRule="auto"/>
        <w:ind w:left="-76"/>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0"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0BBA7D6A" w14:textId="40329129" w:rsidR="00380C3D" w:rsidRDefault="00F15ADA" w:rsidP="0013433A">
      <w:pPr>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Cs/>
          <w:sz w:val="24"/>
          <w:szCs w:val="24"/>
        </w:rPr>
        <w:lastRenderedPageBreak/>
        <w:t xml:space="preserve">    </w:t>
      </w:r>
      <w:r w:rsidR="00D253DB">
        <w:rPr>
          <w:rFonts w:ascii="Times New Roman" w:eastAsia="Palatino Linotype" w:hAnsi="Times New Roman" w:cs="Times New Roman"/>
          <w:b/>
          <w:sz w:val="24"/>
          <w:szCs w:val="24"/>
        </w:rPr>
        <w:t xml:space="preserve">  </w:t>
      </w: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791F9620" w14:textId="77777777" w:rsidR="00E72574" w:rsidRDefault="00E72574" w:rsidP="00E72574">
      <w:pPr>
        <w:spacing w:after="0" w:line="240" w:lineRule="auto"/>
        <w:ind w:left="284"/>
        <w:contextualSpacing/>
        <w:jc w:val="both"/>
        <w:rPr>
          <w:rFonts w:ascii="Times New Roman" w:eastAsia="Palatino Linotype" w:hAnsi="Times New Roman" w:cs="Times New Roman"/>
          <w:b/>
          <w:sz w:val="24"/>
          <w:szCs w:val="24"/>
        </w:rPr>
      </w:pPr>
    </w:p>
    <w:p w14:paraId="5233DE4A" w14:textId="77777777" w:rsidR="00C87364" w:rsidRPr="002E0BC7" w:rsidRDefault="00C87364" w:rsidP="00C87364">
      <w:pPr>
        <w:spacing w:after="0" w:line="240" w:lineRule="auto"/>
        <w:ind w:left="284"/>
        <w:contextualSpacing/>
        <w:jc w:val="both"/>
        <w:rPr>
          <w:rFonts w:ascii="Times New Roman" w:eastAsia="Palatino Linotype" w:hAnsi="Times New Roman" w:cs="Times New Roman"/>
          <w:bCs/>
          <w:sz w:val="24"/>
          <w:szCs w:val="24"/>
        </w:rPr>
      </w:pPr>
    </w:p>
    <w:sectPr w:rsidR="00C87364" w:rsidRPr="002E0BC7"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B260C" w14:textId="77777777" w:rsidR="00973BEE" w:rsidRDefault="00973BEE" w:rsidP="00182875">
      <w:pPr>
        <w:spacing w:after="0" w:line="240" w:lineRule="auto"/>
      </w:pPr>
      <w:r>
        <w:separator/>
      </w:r>
    </w:p>
  </w:endnote>
  <w:endnote w:type="continuationSeparator" w:id="0">
    <w:p w14:paraId="5D3616C4" w14:textId="77777777" w:rsidR="00973BEE" w:rsidRDefault="00973BE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FE82F" w14:textId="77777777" w:rsidR="00973BEE" w:rsidRDefault="00973BEE" w:rsidP="00182875">
      <w:pPr>
        <w:spacing w:after="0" w:line="240" w:lineRule="auto"/>
      </w:pPr>
      <w:r>
        <w:separator/>
      </w:r>
    </w:p>
  </w:footnote>
  <w:footnote w:type="continuationSeparator" w:id="0">
    <w:p w14:paraId="30400F7A" w14:textId="77777777" w:rsidR="00973BEE" w:rsidRDefault="00973BE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D96C0E"/>
    <w:multiLevelType w:val="hybridMultilevel"/>
    <w:tmpl w:val="546E5B4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620494"/>
    <w:multiLevelType w:val="hybridMultilevel"/>
    <w:tmpl w:val="97342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2403EC"/>
    <w:multiLevelType w:val="hybridMultilevel"/>
    <w:tmpl w:val="26724AD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B2621C"/>
    <w:multiLevelType w:val="hybridMultilevel"/>
    <w:tmpl w:val="1B50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4"/>
  </w:num>
  <w:num w:numId="3" w16cid:durableId="681708432">
    <w:abstractNumId w:val="5"/>
  </w:num>
  <w:num w:numId="4" w16cid:durableId="418908634">
    <w:abstractNumId w:val="0"/>
  </w:num>
  <w:num w:numId="5" w16cid:durableId="2070179637">
    <w:abstractNumId w:val="1"/>
  </w:num>
  <w:num w:numId="6" w16cid:durableId="1678068986">
    <w:abstractNumId w:val="8"/>
  </w:num>
  <w:num w:numId="7" w16cid:durableId="1874075912">
    <w:abstractNumId w:val="12"/>
  </w:num>
  <w:num w:numId="8" w16cid:durableId="754319878">
    <w:abstractNumId w:val="10"/>
  </w:num>
  <w:num w:numId="9" w16cid:durableId="2084599337">
    <w:abstractNumId w:val="11"/>
  </w:num>
  <w:num w:numId="10" w16cid:durableId="1905918694">
    <w:abstractNumId w:val="13"/>
  </w:num>
  <w:num w:numId="11" w16cid:durableId="394201098">
    <w:abstractNumId w:val="2"/>
  </w:num>
  <w:num w:numId="12" w16cid:durableId="347365723">
    <w:abstractNumId w:val="3"/>
  </w:num>
  <w:num w:numId="13" w16cid:durableId="1250114202">
    <w:abstractNumId w:val="7"/>
  </w:num>
  <w:num w:numId="14" w16cid:durableId="1911304914">
    <w:abstractNumId w:val="9"/>
  </w:num>
  <w:num w:numId="15" w16cid:durableId="419065558">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16F98"/>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6053"/>
    <w:rsid w:val="000C73BD"/>
    <w:rsid w:val="000C7B78"/>
    <w:rsid w:val="000D0352"/>
    <w:rsid w:val="000D15CA"/>
    <w:rsid w:val="000D2523"/>
    <w:rsid w:val="000D4781"/>
    <w:rsid w:val="000D5B88"/>
    <w:rsid w:val="000D5B92"/>
    <w:rsid w:val="000E1AA3"/>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3ED6"/>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2D59"/>
    <w:rsid w:val="002634A5"/>
    <w:rsid w:val="00263A71"/>
    <w:rsid w:val="0026636C"/>
    <w:rsid w:val="00267BC5"/>
    <w:rsid w:val="002705AC"/>
    <w:rsid w:val="00270BAE"/>
    <w:rsid w:val="002715E5"/>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0BC7"/>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5525"/>
    <w:rsid w:val="00357F8A"/>
    <w:rsid w:val="003608D4"/>
    <w:rsid w:val="00361678"/>
    <w:rsid w:val="00362BF0"/>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97E74"/>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827F3"/>
    <w:rsid w:val="00483AC9"/>
    <w:rsid w:val="004848C9"/>
    <w:rsid w:val="00484BE2"/>
    <w:rsid w:val="00484FB2"/>
    <w:rsid w:val="00494402"/>
    <w:rsid w:val="00497555"/>
    <w:rsid w:val="00497729"/>
    <w:rsid w:val="004A36DC"/>
    <w:rsid w:val="004A7E99"/>
    <w:rsid w:val="004A7FC9"/>
    <w:rsid w:val="004B0E42"/>
    <w:rsid w:val="004B2308"/>
    <w:rsid w:val="004B2502"/>
    <w:rsid w:val="004B4008"/>
    <w:rsid w:val="004B55EA"/>
    <w:rsid w:val="004C0402"/>
    <w:rsid w:val="004C0BF8"/>
    <w:rsid w:val="004C248E"/>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3345"/>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A00BD"/>
    <w:rsid w:val="008A032B"/>
    <w:rsid w:val="008A26C3"/>
    <w:rsid w:val="008A2E7C"/>
    <w:rsid w:val="008A4CAF"/>
    <w:rsid w:val="008A530A"/>
    <w:rsid w:val="008A5EF8"/>
    <w:rsid w:val="008A6D89"/>
    <w:rsid w:val="008A74FA"/>
    <w:rsid w:val="008B22B2"/>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376E6"/>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3BEE"/>
    <w:rsid w:val="00975652"/>
    <w:rsid w:val="009839D1"/>
    <w:rsid w:val="009847CC"/>
    <w:rsid w:val="00984C9C"/>
    <w:rsid w:val="00987B2E"/>
    <w:rsid w:val="009907FA"/>
    <w:rsid w:val="009976C5"/>
    <w:rsid w:val="00997D3C"/>
    <w:rsid w:val="00997EA0"/>
    <w:rsid w:val="009A0697"/>
    <w:rsid w:val="009A0D4A"/>
    <w:rsid w:val="009A200C"/>
    <w:rsid w:val="009A44FB"/>
    <w:rsid w:val="009A4B3E"/>
    <w:rsid w:val="009A7398"/>
    <w:rsid w:val="009B0104"/>
    <w:rsid w:val="009B2E5E"/>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E61E8"/>
    <w:rsid w:val="00AF1BBA"/>
    <w:rsid w:val="00AF6EDB"/>
    <w:rsid w:val="00B04E78"/>
    <w:rsid w:val="00B05CF1"/>
    <w:rsid w:val="00B11A7B"/>
    <w:rsid w:val="00B12FF8"/>
    <w:rsid w:val="00B145D6"/>
    <w:rsid w:val="00B158E6"/>
    <w:rsid w:val="00B20307"/>
    <w:rsid w:val="00B214E5"/>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082A"/>
    <w:rsid w:val="00B41592"/>
    <w:rsid w:val="00B54147"/>
    <w:rsid w:val="00B55CF5"/>
    <w:rsid w:val="00B57765"/>
    <w:rsid w:val="00B654C1"/>
    <w:rsid w:val="00B66CF4"/>
    <w:rsid w:val="00B74046"/>
    <w:rsid w:val="00B74A38"/>
    <w:rsid w:val="00B74C1E"/>
    <w:rsid w:val="00B76898"/>
    <w:rsid w:val="00B77864"/>
    <w:rsid w:val="00B80039"/>
    <w:rsid w:val="00B875D8"/>
    <w:rsid w:val="00B90045"/>
    <w:rsid w:val="00B93BE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D17D7"/>
    <w:rsid w:val="00BD1D8F"/>
    <w:rsid w:val="00BD2000"/>
    <w:rsid w:val="00BD395E"/>
    <w:rsid w:val="00BD6075"/>
    <w:rsid w:val="00BD6D9E"/>
    <w:rsid w:val="00BD6EE6"/>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285D"/>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6652"/>
    <w:rsid w:val="00E36892"/>
    <w:rsid w:val="00E37429"/>
    <w:rsid w:val="00E3794B"/>
    <w:rsid w:val="00E406E4"/>
    <w:rsid w:val="00E4175C"/>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2574"/>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1658"/>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766C6F7B-58B0-4029-8947-EA36314C1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cp:lastPrinted>2024-09-18T12:16:00Z</cp:lastPrinted>
  <dcterms:created xsi:type="dcterms:W3CDTF">2025-11-11T14:02:00Z</dcterms:created>
  <dcterms:modified xsi:type="dcterms:W3CDTF">2025-11-11T14:02:00Z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