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41C4" w14:textId="77777777" w:rsidR="00EE5BD1" w:rsidRPr="00673409" w:rsidRDefault="00EE5BD1" w:rsidP="00EE5BD1">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00D361BD" w:rsidRPr="00D361BD">
        <w:rPr>
          <w:rFonts w:asciiTheme="majorBidi" w:eastAsia="Calibri" w:hAnsiTheme="majorBidi" w:cstheme="majorBidi"/>
          <w:noProof/>
          <w:sz w:val="24"/>
          <w:szCs w:val="24"/>
          <w14:ligatures w14:val="standardContextual"/>
        </w:rPr>
        <w:object w:dxaOrig="690" w:dyaOrig="585" w14:anchorId="0F35D3DF">
          <v:rect id="rectole0000000000" o:spid="_x0000_i1025" alt="" style="width:34.9pt;height:28.25pt;mso-width-percent:0;mso-height-percent:0;mso-width-percent:0;mso-height-percent:0" o:ole="" o:preferrelative="t" stroked="f">
            <v:imagedata r:id="rId7" o:title=""/>
          </v:rect>
          <o:OLEObject Type="Embed" ProgID="StaticMetafile" ShapeID="rectole0000000000" DrawAspect="Content" ObjectID="_1824658914"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r w:rsidRPr="00673409">
        <w:rPr>
          <w:rFonts w:asciiTheme="majorBidi" w:eastAsia="Times New Roman" w:hAnsiTheme="majorBidi" w:cstheme="majorBidi"/>
          <w:b/>
          <w:position w:val="-4"/>
          <w:sz w:val="24"/>
          <w:szCs w:val="24"/>
          <w:rtl/>
        </w:rPr>
        <w:t>ألأمم المتحدة</w:t>
      </w:r>
    </w:p>
    <w:p w14:paraId="2D1BDEF6" w14:textId="77777777" w:rsidR="00EE5BD1" w:rsidRPr="00673409" w:rsidRDefault="00EE5BD1" w:rsidP="00EE5BD1">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21454648" w14:textId="77777777" w:rsidR="00EE5BD1" w:rsidRPr="00673409" w:rsidRDefault="00EE5BD1" w:rsidP="00EE5BD1">
      <w:pPr>
        <w:spacing w:after="0"/>
        <w:rPr>
          <w:rFonts w:asciiTheme="majorBidi" w:eastAsia="Times New Roman" w:hAnsiTheme="majorBidi" w:cstheme="majorBidi"/>
          <w:b/>
          <w:sz w:val="24"/>
          <w:szCs w:val="24"/>
        </w:rPr>
      </w:pPr>
    </w:p>
    <w:p w14:paraId="79A5F37F" w14:textId="77777777" w:rsidR="00EE5BD1" w:rsidRPr="00673409" w:rsidRDefault="00EE5BD1" w:rsidP="00EE5BD1">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6E7B49F1" w14:textId="77777777" w:rsidR="00EE5BD1" w:rsidRPr="00673409" w:rsidRDefault="00EE5BD1" w:rsidP="00EE5BD1">
      <w:pPr>
        <w:spacing w:after="0"/>
        <w:ind w:left="3600"/>
        <w:rPr>
          <w:rFonts w:asciiTheme="majorBidi" w:eastAsia="Times New Roman" w:hAnsiTheme="majorBidi" w:cstheme="majorBidi"/>
          <w:b/>
          <w:sz w:val="24"/>
          <w:szCs w:val="24"/>
        </w:rPr>
      </w:pPr>
    </w:p>
    <w:p w14:paraId="0AD097AB" w14:textId="77777777" w:rsidR="00EE5BD1" w:rsidRPr="00673409" w:rsidRDefault="00EE5BD1" w:rsidP="00EE5BD1">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7F572AFF" w14:textId="77777777" w:rsidR="00EE5BD1" w:rsidRPr="00673409" w:rsidRDefault="00EE5BD1" w:rsidP="00EE5BD1">
      <w:pPr>
        <w:spacing w:after="0"/>
        <w:ind w:left="3600"/>
        <w:rPr>
          <w:rFonts w:asciiTheme="majorBidi" w:eastAsia="Calibri" w:hAnsiTheme="majorBidi" w:cstheme="majorBidi"/>
          <w:b/>
          <w:sz w:val="24"/>
          <w:szCs w:val="24"/>
        </w:rPr>
      </w:pPr>
    </w:p>
    <w:p w14:paraId="4E197B76" w14:textId="7DB8F46E" w:rsidR="00EE5BD1" w:rsidRPr="00673409" w:rsidRDefault="00EE5BD1" w:rsidP="00EE5BD1">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FE0F27">
        <w:rPr>
          <w:rFonts w:asciiTheme="majorBidi" w:eastAsia="Calibri" w:hAnsiTheme="majorBidi" w:cstheme="majorBidi"/>
          <w:b/>
          <w:sz w:val="24"/>
          <w:szCs w:val="24"/>
        </w:rPr>
        <w:t>4</w:t>
      </w:r>
      <w:r w:rsidRPr="00673409">
        <w:rPr>
          <w:rFonts w:asciiTheme="majorBidi" w:eastAsia="Calibri" w:hAnsiTheme="majorBidi" w:cstheme="majorBidi"/>
          <w:b/>
          <w:sz w:val="24"/>
          <w:szCs w:val="24"/>
        </w:rPr>
        <w:t>/1</w:t>
      </w:r>
      <w:r>
        <w:rPr>
          <w:rFonts w:asciiTheme="majorBidi" w:eastAsia="Calibri" w:hAnsiTheme="majorBidi" w:cstheme="majorBidi"/>
          <w:b/>
          <w:sz w:val="24"/>
          <w:szCs w:val="24"/>
        </w:rPr>
        <w:t>1</w:t>
      </w:r>
      <w:r w:rsidRPr="00673409">
        <w:rPr>
          <w:rFonts w:asciiTheme="majorBidi" w:eastAsia="Calibri" w:hAnsiTheme="majorBidi" w:cstheme="majorBidi"/>
          <w:b/>
          <w:sz w:val="24"/>
          <w:szCs w:val="24"/>
        </w:rPr>
        <w:t>/2025</w:t>
      </w:r>
    </w:p>
    <w:p w14:paraId="42A23D67" w14:textId="77777777" w:rsidR="00EE5BD1" w:rsidRPr="00673409" w:rsidRDefault="00EE5BD1" w:rsidP="00EE5BD1">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651A6298" w14:textId="77777777" w:rsidR="00EE5BD1" w:rsidRPr="00673409" w:rsidRDefault="00EE5BD1" w:rsidP="00EE5BD1">
      <w:pPr>
        <w:spacing w:after="0" w:line="240" w:lineRule="auto"/>
        <w:jc w:val="both"/>
        <w:rPr>
          <w:rFonts w:asciiTheme="majorBidi" w:hAnsiTheme="majorBidi" w:cstheme="majorBidi"/>
          <w:b/>
          <w:bCs/>
          <w:sz w:val="24"/>
          <w:szCs w:val="24"/>
        </w:rPr>
      </w:pPr>
      <w:bookmarkStart w:id="4" w:name="_Hlk209110506"/>
    </w:p>
    <w:p w14:paraId="529140D5" w14:textId="77777777" w:rsidR="00383BAC" w:rsidRPr="00180752" w:rsidRDefault="00383BAC" w:rsidP="00383BAC">
      <w:pPr>
        <w:pStyle w:val="ListParagraph"/>
        <w:numPr>
          <w:ilvl w:val="0"/>
          <w:numId w:val="2"/>
        </w:numPr>
        <w:spacing w:after="160" w:line="278" w:lineRule="auto"/>
        <w:jc w:val="both"/>
        <w:rPr>
          <w:rFonts w:asciiTheme="majorBidi" w:hAnsiTheme="majorBidi" w:cstheme="majorBidi"/>
          <w:b/>
          <w:bCs/>
          <w:sz w:val="24"/>
          <w:szCs w:val="24"/>
        </w:rPr>
      </w:pPr>
      <w:r>
        <w:rPr>
          <w:rFonts w:asciiTheme="majorBidi" w:hAnsiTheme="majorBidi" w:cstheme="majorBidi"/>
          <w:b/>
          <w:bCs/>
          <w:sz w:val="24"/>
          <w:szCs w:val="24"/>
        </w:rPr>
        <w:t>Personnel of Government organized forces</w:t>
      </w:r>
      <w:r w:rsidRPr="00180752">
        <w:rPr>
          <w:rFonts w:asciiTheme="majorBidi" w:hAnsiTheme="majorBidi" w:cstheme="majorBidi"/>
          <w:b/>
          <w:bCs/>
          <w:sz w:val="24"/>
          <w:szCs w:val="24"/>
        </w:rPr>
        <w:t xml:space="preserve"> allegedly shot and </w:t>
      </w:r>
      <w:r>
        <w:rPr>
          <w:rFonts w:asciiTheme="majorBidi" w:hAnsiTheme="majorBidi" w:cstheme="majorBidi"/>
          <w:b/>
          <w:bCs/>
          <w:sz w:val="24"/>
          <w:szCs w:val="24"/>
        </w:rPr>
        <w:t xml:space="preserve">killed a </w:t>
      </w:r>
      <w:r w:rsidRPr="00180752">
        <w:rPr>
          <w:rFonts w:asciiTheme="majorBidi" w:hAnsiTheme="majorBidi" w:cstheme="majorBidi"/>
          <w:b/>
          <w:bCs/>
          <w:sz w:val="24"/>
          <w:szCs w:val="24"/>
        </w:rPr>
        <w:t>civilian</w:t>
      </w:r>
      <w:r>
        <w:rPr>
          <w:rFonts w:asciiTheme="majorBidi" w:hAnsiTheme="majorBidi" w:cstheme="majorBidi"/>
          <w:b/>
          <w:bCs/>
          <w:sz w:val="24"/>
          <w:szCs w:val="24"/>
        </w:rPr>
        <w:t xml:space="preserve"> in Ikpiro residential </w:t>
      </w:r>
      <w:r w:rsidRPr="00180752">
        <w:rPr>
          <w:rFonts w:asciiTheme="majorBidi" w:hAnsiTheme="majorBidi" w:cstheme="majorBidi"/>
          <w:b/>
          <w:bCs/>
          <w:sz w:val="24"/>
          <w:szCs w:val="24"/>
        </w:rPr>
        <w:t xml:space="preserve">Area, </w:t>
      </w:r>
      <w:r>
        <w:rPr>
          <w:rFonts w:asciiTheme="majorBidi" w:hAnsiTheme="majorBidi" w:cstheme="majorBidi"/>
          <w:b/>
          <w:bCs/>
          <w:sz w:val="24"/>
          <w:szCs w:val="24"/>
        </w:rPr>
        <w:t xml:space="preserve">Yambio Town, </w:t>
      </w:r>
      <w:r w:rsidRPr="00180752">
        <w:rPr>
          <w:rFonts w:asciiTheme="majorBidi" w:hAnsiTheme="majorBidi" w:cstheme="majorBidi"/>
          <w:b/>
          <w:bCs/>
          <w:sz w:val="24"/>
          <w:szCs w:val="24"/>
        </w:rPr>
        <w:t>Yambio County</w:t>
      </w:r>
      <w:r>
        <w:rPr>
          <w:rFonts w:asciiTheme="majorBidi" w:hAnsiTheme="majorBidi" w:cstheme="majorBidi"/>
          <w:b/>
          <w:bCs/>
          <w:sz w:val="24"/>
          <w:szCs w:val="24"/>
        </w:rPr>
        <w:t>;</w:t>
      </w:r>
    </w:p>
    <w:bookmarkEnd w:id="2"/>
    <w:bookmarkEnd w:id="3"/>
    <w:bookmarkEnd w:id="4"/>
    <w:p w14:paraId="5E29C2F9" w14:textId="77777777" w:rsidR="00B4189D" w:rsidRPr="00B4189D" w:rsidRDefault="00B4189D" w:rsidP="00B4189D">
      <w:pPr>
        <w:pStyle w:val="ListParagraph"/>
        <w:numPr>
          <w:ilvl w:val="0"/>
          <w:numId w:val="2"/>
        </w:numPr>
        <w:jc w:val="both"/>
        <w:rPr>
          <w:rFonts w:asciiTheme="majorBidi" w:hAnsiTheme="majorBidi" w:cstheme="majorBidi"/>
          <w:b/>
          <w:bCs/>
          <w:sz w:val="24"/>
          <w:szCs w:val="24"/>
        </w:rPr>
      </w:pPr>
      <w:r w:rsidRPr="00B4189D">
        <w:rPr>
          <w:rFonts w:asciiTheme="majorBidi" w:hAnsiTheme="majorBidi" w:cstheme="majorBidi"/>
          <w:b/>
          <w:bCs/>
          <w:sz w:val="24"/>
          <w:szCs w:val="24"/>
        </w:rPr>
        <w:t>HRD continued with the second day of the three-day capacity-building training for members of the Western Equatoria State Transitional Legislative Assembly</w:t>
      </w:r>
      <w:r>
        <w:rPr>
          <w:rFonts w:asciiTheme="majorBidi" w:hAnsiTheme="majorBidi" w:cstheme="majorBidi"/>
          <w:b/>
          <w:bCs/>
          <w:sz w:val="24"/>
          <w:szCs w:val="24"/>
        </w:rPr>
        <w:t>;</w:t>
      </w:r>
      <w:r w:rsidRPr="00B4189D">
        <w:rPr>
          <w:rFonts w:asciiTheme="majorBidi" w:hAnsiTheme="majorBidi" w:cstheme="majorBidi"/>
          <w:b/>
          <w:bCs/>
          <w:sz w:val="24"/>
          <w:szCs w:val="24"/>
        </w:rPr>
        <w:t xml:space="preserve"> </w:t>
      </w:r>
    </w:p>
    <w:p w14:paraId="0C0D8C84" w14:textId="77777777" w:rsidR="00EE5BD1" w:rsidRPr="00673409" w:rsidRDefault="00EE5BD1" w:rsidP="00EE5BD1">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7ED45075" w14:textId="77777777" w:rsidR="00EE5BD1" w:rsidRPr="00673409"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321F94A9" w14:textId="77777777" w:rsidR="00EE5BD1"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0096F07D" w14:textId="77777777" w:rsidR="00EE5BD1" w:rsidRDefault="00EE5BD1" w:rsidP="00EE5BD1">
      <w:pPr>
        <w:spacing w:after="0" w:line="240" w:lineRule="auto"/>
        <w:contextualSpacing/>
        <w:jc w:val="both"/>
        <w:rPr>
          <w:rFonts w:asciiTheme="majorBidi" w:eastAsia="Palatino Linotype" w:hAnsiTheme="majorBidi" w:cstheme="majorBidi"/>
          <w:b/>
          <w:sz w:val="24"/>
          <w:szCs w:val="24"/>
        </w:rPr>
      </w:pPr>
    </w:p>
    <w:p w14:paraId="39949DC3" w14:textId="77777777" w:rsidR="00EE5BD1" w:rsidRDefault="00EE5BD1" w:rsidP="00EE5BD1">
      <w:pPr>
        <w:spacing w:after="0" w:line="240" w:lineRule="auto"/>
        <w:contextualSpacing/>
        <w:jc w:val="both"/>
        <w:rPr>
          <w:rFonts w:asciiTheme="majorBidi" w:eastAsia="Palatino Linotype" w:hAnsiTheme="majorBidi" w:cstheme="majorBidi"/>
          <w:b/>
          <w:sz w:val="24"/>
          <w:szCs w:val="24"/>
        </w:rPr>
      </w:pPr>
    </w:p>
    <w:p w14:paraId="15751E15" w14:textId="64839F0F" w:rsidR="00EE5BD1" w:rsidRPr="00180752" w:rsidRDefault="00FE0F27" w:rsidP="00EE5BD1">
      <w:pPr>
        <w:pStyle w:val="ListParagraph"/>
        <w:numPr>
          <w:ilvl w:val="0"/>
          <w:numId w:val="2"/>
        </w:numPr>
        <w:spacing w:after="160" w:line="278" w:lineRule="auto"/>
        <w:jc w:val="both"/>
        <w:rPr>
          <w:rFonts w:asciiTheme="majorBidi" w:hAnsiTheme="majorBidi" w:cstheme="majorBidi"/>
          <w:b/>
          <w:bCs/>
          <w:sz w:val="24"/>
          <w:szCs w:val="24"/>
        </w:rPr>
      </w:pPr>
      <w:r>
        <w:rPr>
          <w:rFonts w:asciiTheme="majorBidi" w:hAnsiTheme="majorBidi" w:cstheme="majorBidi"/>
          <w:b/>
          <w:bCs/>
          <w:sz w:val="24"/>
          <w:szCs w:val="24"/>
        </w:rPr>
        <w:t>Personnel of Government organized forces</w:t>
      </w:r>
      <w:r w:rsidR="00EE5BD1" w:rsidRPr="00180752">
        <w:rPr>
          <w:rFonts w:asciiTheme="majorBidi" w:hAnsiTheme="majorBidi" w:cstheme="majorBidi"/>
          <w:b/>
          <w:bCs/>
          <w:sz w:val="24"/>
          <w:szCs w:val="24"/>
        </w:rPr>
        <w:t xml:space="preserve"> allegedly shot and </w:t>
      </w:r>
      <w:r>
        <w:rPr>
          <w:rFonts w:asciiTheme="majorBidi" w:hAnsiTheme="majorBidi" w:cstheme="majorBidi"/>
          <w:b/>
          <w:bCs/>
          <w:sz w:val="24"/>
          <w:szCs w:val="24"/>
        </w:rPr>
        <w:t xml:space="preserve">killed a </w:t>
      </w:r>
      <w:r w:rsidR="00EE5BD1" w:rsidRPr="00180752">
        <w:rPr>
          <w:rFonts w:asciiTheme="majorBidi" w:hAnsiTheme="majorBidi" w:cstheme="majorBidi"/>
          <w:b/>
          <w:bCs/>
          <w:sz w:val="24"/>
          <w:szCs w:val="24"/>
        </w:rPr>
        <w:t>civilian</w:t>
      </w:r>
      <w:r w:rsidR="00383BAC">
        <w:rPr>
          <w:rFonts w:asciiTheme="majorBidi" w:hAnsiTheme="majorBidi" w:cstheme="majorBidi"/>
          <w:b/>
          <w:bCs/>
          <w:sz w:val="24"/>
          <w:szCs w:val="24"/>
        </w:rPr>
        <w:t xml:space="preserve"> in</w:t>
      </w:r>
      <w:r w:rsidR="00EE5BD1">
        <w:rPr>
          <w:rFonts w:asciiTheme="majorBidi" w:hAnsiTheme="majorBidi" w:cstheme="majorBidi"/>
          <w:b/>
          <w:bCs/>
          <w:sz w:val="24"/>
          <w:szCs w:val="24"/>
        </w:rPr>
        <w:t xml:space="preserve"> </w:t>
      </w:r>
      <w:r>
        <w:rPr>
          <w:rFonts w:asciiTheme="majorBidi" w:hAnsiTheme="majorBidi" w:cstheme="majorBidi"/>
          <w:b/>
          <w:bCs/>
          <w:sz w:val="24"/>
          <w:szCs w:val="24"/>
        </w:rPr>
        <w:t xml:space="preserve">Ikpiro residential </w:t>
      </w:r>
      <w:r w:rsidR="00EE5BD1" w:rsidRPr="00180752">
        <w:rPr>
          <w:rFonts w:asciiTheme="majorBidi" w:hAnsiTheme="majorBidi" w:cstheme="majorBidi"/>
          <w:b/>
          <w:bCs/>
          <w:sz w:val="24"/>
          <w:szCs w:val="24"/>
        </w:rPr>
        <w:t xml:space="preserve">Area, </w:t>
      </w:r>
      <w:r w:rsidR="00EE5BD1">
        <w:rPr>
          <w:rFonts w:asciiTheme="majorBidi" w:hAnsiTheme="majorBidi" w:cstheme="majorBidi"/>
          <w:b/>
          <w:bCs/>
          <w:sz w:val="24"/>
          <w:szCs w:val="24"/>
        </w:rPr>
        <w:t xml:space="preserve">Yambio Town, </w:t>
      </w:r>
      <w:r w:rsidR="00EE5BD1" w:rsidRPr="00180752">
        <w:rPr>
          <w:rFonts w:asciiTheme="majorBidi" w:hAnsiTheme="majorBidi" w:cstheme="majorBidi"/>
          <w:b/>
          <w:bCs/>
          <w:sz w:val="24"/>
          <w:szCs w:val="24"/>
        </w:rPr>
        <w:t>Yambio County</w:t>
      </w:r>
      <w:r w:rsidR="00383BAC">
        <w:rPr>
          <w:rFonts w:asciiTheme="majorBidi" w:hAnsiTheme="majorBidi" w:cstheme="majorBidi"/>
          <w:b/>
          <w:bCs/>
          <w:sz w:val="24"/>
          <w:szCs w:val="24"/>
        </w:rPr>
        <w:t>;</w:t>
      </w:r>
    </w:p>
    <w:p w14:paraId="48481661" w14:textId="77777777" w:rsidR="00023BEF" w:rsidRPr="00383BAC" w:rsidRDefault="00EE5BD1" w:rsidP="00EE5BD1">
      <w:pPr>
        <w:spacing w:after="0" w:line="240" w:lineRule="auto"/>
        <w:jc w:val="both"/>
        <w:rPr>
          <w:rFonts w:ascii="Times New Roman" w:hAnsi="Times New Roman" w:cs="Times New Roman"/>
          <w:spacing w:val="1"/>
          <w:sz w:val="24"/>
          <w:szCs w:val="24"/>
        </w:rPr>
      </w:pPr>
      <w:r w:rsidRPr="00383BAC">
        <w:rPr>
          <w:rFonts w:ascii="Times New Roman" w:hAnsi="Times New Roman" w:cs="Times New Roman"/>
          <w:sz w:val="24"/>
          <w:szCs w:val="24"/>
        </w:rPr>
        <w:t>On 14 November, multiple secondary sources</w:t>
      </w:r>
      <w:r w:rsidR="00FE0F27" w:rsidRPr="00383BAC">
        <w:rPr>
          <w:rFonts w:ascii="Times New Roman" w:hAnsi="Times New Roman" w:cs="Times New Roman"/>
          <w:sz w:val="24"/>
          <w:szCs w:val="24"/>
        </w:rPr>
        <w:t xml:space="preserve"> including police and a community leader</w:t>
      </w:r>
      <w:r w:rsidRPr="00383BAC">
        <w:rPr>
          <w:rFonts w:ascii="Times New Roman" w:hAnsi="Times New Roman" w:cs="Times New Roman"/>
          <w:sz w:val="24"/>
          <w:szCs w:val="24"/>
        </w:rPr>
        <w:t xml:space="preserve"> reported that in the </w:t>
      </w:r>
      <w:r w:rsidR="008A1491" w:rsidRPr="00383BAC">
        <w:rPr>
          <w:rFonts w:ascii="Times New Roman" w:hAnsi="Times New Roman" w:cs="Times New Roman"/>
          <w:sz w:val="24"/>
          <w:szCs w:val="24"/>
        </w:rPr>
        <w:t xml:space="preserve">evening </w:t>
      </w:r>
      <w:r w:rsidRPr="00383BAC">
        <w:rPr>
          <w:rFonts w:ascii="Times New Roman" w:hAnsi="Times New Roman" w:cs="Times New Roman"/>
          <w:sz w:val="24"/>
          <w:szCs w:val="24"/>
        </w:rPr>
        <w:t xml:space="preserve">of 13 November, personnel of the organized forces shot and killed a male civilian (details on file) from the Azande community in Ikpiro residential area, Yambio town, Yambio County. </w:t>
      </w:r>
      <w:r w:rsidR="008A1491" w:rsidRPr="00383BAC">
        <w:rPr>
          <w:rFonts w:ascii="Times New Roman" w:hAnsi="Times New Roman" w:cs="Times New Roman"/>
          <w:sz w:val="24"/>
          <w:szCs w:val="24"/>
        </w:rPr>
        <w:t xml:space="preserve">According to sources, </w:t>
      </w:r>
      <w:r w:rsidR="008A1491" w:rsidRPr="00383BAC">
        <w:rPr>
          <w:rFonts w:ascii="Times New Roman" w:hAnsi="Times New Roman" w:cs="Times New Roman"/>
          <w:spacing w:val="1"/>
          <w:sz w:val="24"/>
          <w:szCs w:val="24"/>
        </w:rPr>
        <w:t xml:space="preserve">the victim was accused of stealing unspecified amounts of money and other valuables </w:t>
      </w:r>
      <w:r w:rsidR="00023BEF" w:rsidRPr="00383BAC">
        <w:rPr>
          <w:rFonts w:ascii="Times New Roman" w:hAnsi="Times New Roman" w:cs="Times New Roman"/>
          <w:spacing w:val="1"/>
          <w:sz w:val="24"/>
          <w:szCs w:val="24"/>
        </w:rPr>
        <w:t>and subsequently organized forces were called</w:t>
      </w:r>
      <w:r w:rsidR="008A1491" w:rsidRPr="00383BAC">
        <w:rPr>
          <w:rFonts w:ascii="Times New Roman" w:hAnsi="Times New Roman" w:cs="Times New Roman"/>
          <w:spacing w:val="1"/>
          <w:sz w:val="24"/>
          <w:szCs w:val="24"/>
        </w:rPr>
        <w:t>.</w:t>
      </w:r>
      <w:r w:rsidR="00023BEF" w:rsidRPr="00383BAC">
        <w:rPr>
          <w:rFonts w:ascii="Times New Roman" w:hAnsi="Times New Roman" w:cs="Times New Roman"/>
          <w:spacing w:val="1"/>
          <w:sz w:val="24"/>
          <w:szCs w:val="24"/>
        </w:rPr>
        <w:t xml:space="preserve"> Reportedly, the organized</w:t>
      </w:r>
      <w:r w:rsidR="008A1491" w:rsidRPr="00383BAC">
        <w:rPr>
          <w:rFonts w:ascii="Times New Roman" w:hAnsi="Times New Roman" w:cs="Times New Roman"/>
          <w:spacing w:val="1"/>
          <w:sz w:val="24"/>
          <w:szCs w:val="24"/>
        </w:rPr>
        <w:t xml:space="preserve"> forces conducting a night patrol responded to the scene and fatally shot him.</w:t>
      </w:r>
    </w:p>
    <w:p w14:paraId="6A82EBCB" w14:textId="77777777" w:rsidR="00023BEF" w:rsidRPr="00383BAC" w:rsidRDefault="00023BEF" w:rsidP="00EE5BD1">
      <w:pPr>
        <w:spacing w:after="0" w:line="240" w:lineRule="auto"/>
        <w:jc w:val="both"/>
        <w:rPr>
          <w:rFonts w:ascii="Times New Roman" w:hAnsi="Times New Roman" w:cs="Times New Roman"/>
          <w:spacing w:val="1"/>
          <w:sz w:val="24"/>
          <w:szCs w:val="24"/>
        </w:rPr>
      </w:pPr>
    </w:p>
    <w:p w14:paraId="25E0702D" w14:textId="7E7AA2AB" w:rsidR="00EE5BD1" w:rsidRPr="00383BAC" w:rsidRDefault="00023BEF" w:rsidP="00EE5BD1">
      <w:pPr>
        <w:spacing w:after="0" w:line="240" w:lineRule="auto"/>
        <w:jc w:val="both"/>
        <w:rPr>
          <w:rFonts w:ascii="Times New Roman" w:hAnsi="Times New Roman" w:cs="Times New Roman"/>
          <w:i/>
          <w:iCs/>
          <w:sz w:val="24"/>
          <w:szCs w:val="24"/>
        </w:rPr>
      </w:pPr>
      <w:r w:rsidRPr="00383BAC">
        <w:rPr>
          <w:rFonts w:ascii="Times New Roman" w:hAnsi="Times New Roman" w:cs="Times New Roman"/>
          <w:i/>
          <w:iCs/>
          <w:spacing w:val="1"/>
          <w:sz w:val="24"/>
          <w:szCs w:val="24"/>
        </w:rPr>
        <w:t xml:space="preserve">Comment: </w:t>
      </w:r>
      <w:r w:rsidRPr="00383BAC">
        <w:rPr>
          <w:rFonts w:ascii="Times New Roman" w:hAnsi="Times New Roman" w:cs="Times New Roman"/>
          <w:i/>
          <w:iCs/>
          <w:spacing w:val="1"/>
          <w:sz w:val="24"/>
          <w:szCs w:val="24"/>
        </w:rPr>
        <w:t xml:space="preserve">The indiscriminate shooting of </w:t>
      </w:r>
      <w:r w:rsidR="00284F34">
        <w:rPr>
          <w:rFonts w:ascii="Times New Roman" w:hAnsi="Times New Roman" w:cs="Times New Roman"/>
          <w:i/>
          <w:iCs/>
          <w:spacing w:val="1"/>
          <w:sz w:val="24"/>
          <w:szCs w:val="24"/>
        </w:rPr>
        <w:t>the victim</w:t>
      </w:r>
      <w:r w:rsidRPr="00383BAC">
        <w:rPr>
          <w:rFonts w:ascii="Times New Roman" w:hAnsi="Times New Roman" w:cs="Times New Roman"/>
          <w:i/>
          <w:iCs/>
          <w:spacing w:val="1"/>
          <w:sz w:val="24"/>
          <w:szCs w:val="24"/>
        </w:rPr>
        <w:t xml:space="preserve"> without due process or a fair trial constitutes a grave violation of fundamental human rights, undermining the principles of justice, accountability, and the rule of law.</w:t>
      </w:r>
      <w:r w:rsidR="00383BAC" w:rsidRPr="00383BAC">
        <w:rPr>
          <w:rFonts w:ascii="Times New Roman" w:hAnsi="Times New Roman" w:cs="Times New Roman"/>
          <w:i/>
          <w:iCs/>
          <w:spacing w:val="1"/>
          <w:sz w:val="24"/>
          <w:szCs w:val="24"/>
        </w:rPr>
        <w:t xml:space="preserve">  This</w:t>
      </w:r>
      <w:r w:rsidR="00383BAC" w:rsidRPr="00383BAC">
        <w:rPr>
          <w:rFonts w:ascii="Times New Roman" w:hAnsi="Times New Roman" w:cs="Times New Roman"/>
          <w:i/>
          <w:iCs/>
          <w:spacing w:val="1"/>
          <w:sz w:val="24"/>
          <w:szCs w:val="24"/>
        </w:rPr>
        <w:t xml:space="preserve"> action disregard</w:t>
      </w:r>
      <w:r w:rsidR="00383BAC" w:rsidRPr="00383BAC">
        <w:rPr>
          <w:rFonts w:ascii="Times New Roman" w:hAnsi="Times New Roman" w:cs="Times New Roman"/>
          <w:i/>
          <w:iCs/>
          <w:spacing w:val="1"/>
          <w:sz w:val="24"/>
          <w:szCs w:val="24"/>
        </w:rPr>
        <w:t>s</w:t>
      </w:r>
      <w:r w:rsidR="00383BAC" w:rsidRPr="00383BAC">
        <w:rPr>
          <w:rFonts w:ascii="Times New Roman" w:hAnsi="Times New Roman" w:cs="Times New Roman"/>
          <w:i/>
          <w:iCs/>
          <w:spacing w:val="1"/>
          <w:sz w:val="24"/>
          <w:szCs w:val="24"/>
        </w:rPr>
        <w:t xml:space="preserve"> the fundamental principles of the right to life, the presumption of innocence, and the rule of law. </w:t>
      </w:r>
      <w:r w:rsidR="008A1491" w:rsidRPr="00383BAC">
        <w:rPr>
          <w:rFonts w:ascii="Times New Roman" w:hAnsi="Times New Roman" w:cs="Times New Roman"/>
          <w:i/>
          <w:iCs/>
          <w:spacing w:val="1"/>
          <w:sz w:val="24"/>
          <w:szCs w:val="24"/>
        </w:rPr>
        <w:t> </w:t>
      </w:r>
    </w:p>
    <w:p w14:paraId="0A2287C3" w14:textId="77777777" w:rsidR="00EE5BD1" w:rsidRDefault="00EE5BD1" w:rsidP="00EE5BD1">
      <w:pPr>
        <w:spacing w:after="0" w:line="240" w:lineRule="auto"/>
        <w:contextualSpacing/>
        <w:jc w:val="both"/>
        <w:rPr>
          <w:rFonts w:asciiTheme="majorBidi" w:eastAsia="Palatino Linotype" w:hAnsiTheme="majorBidi" w:cstheme="majorBidi"/>
          <w:b/>
          <w:sz w:val="24"/>
          <w:szCs w:val="24"/>
        </w:rPr>
      </w:pPr>
    </w:p>
    <w:p w14:paraId="69BEEA0D" w14:textId="77777777" w:rsidR="00EE5BD1"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 xml:space="preserve">Conflict-4. Related Sexual Violence (CRSV) </w:t>
      </w:r>
    </w:p>
    <w:p w14:paraId="5C25E6FD" w14:textId="77777777" w:rsidR="00EE5BD1"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Sexual and Gender-Based Violence (SGBV)</w:t>
      </w:r>
    </w:p>
    <w:p w14:paraId="351B51D3" w14:textId="77777777" w:rsidR="00EE5BD1"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Civic Space and Participation</w:t>
      </w:r>
    </w:p>
    <w:p w14:paraId="741EE44A" w14:textId="77777777" w:rsidR="00EE5BD1"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Judicial Accountability</w:t>
      </w:r>
    </w:p>
    <w:p w14:paraId="6028E683" w14:textId="77777777" w:rsidR="00EE5BD1"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Transitional Justice</w:t>
      </w:r>
    </w:p>
    <w:p w14:paraId="1C2024B5" w14:textId="77777777" w:rsidR="00EE5BD1" w:rsidRPr="00472544" w:rsidRDefault="00EE5BD1" w:rsidP="00EE5BD1">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472544">
        <w:rPr>
          <w:rFonts w:asciiTheme="majorBidi" w:eastAsia="Palatino Linotype" w:hAnsiTheme="majorBidi" w:cstheme="majorBidi"/>
          <w:b/>
          <w:sz w:val="24"/>
          <w:szCs w:val="24"/>
        </w:rPr>
        <w:t>Engagements and Capacity Building</w:t>
      </w:r>
      <w:r w:rsidRPr="00472544">
        <w:rPr>
          <w:rFonts w:asciiTheme="majorBidi" w:eastAsia="Palatino Linotype" w:hAnsiTheme="majorBidi" w:cstheme="majorBidi"/>
          <w:bCs/>
          <w:sz w:val="24"/>
          <w:szCs w:val="24"/>
        </w:rPr>
        <w:t xml:space="preserve"> </w:t>
      </w:r>
      <w:r w:rsidRPr="00472544">
        <w:rPr>
          <w:rFonts w:asciiTheme="majorBidi" w:hAnsiTheme="majorBidi" w:cstheme="majorBidi"/>
          <w:sz w:val="24"/>
          <w:szCs w:val="24"/>
        </w:rPr>
        <w:t xml:space="preserve"> </w:t>
      </w:r>
    </w:p>
    <w:p w14:paraId="182CE390" w14:textId="77777777" w:rsidR="00EE5BD1" w:rsidRDefault="00EE5BD1" w:rsidP="00EE5BD1">
      <w:pPr>
        <w:spacing w:after="0" w:line="240" w:lineRule="auto"/>
        <w:contextualSpacing/>
        <w:jc w:val="both"/>
        <w:rPr>
          <w:rFonts w:asciiTheme="majorBidi" w:hAnsiTheme="majorBidi" w:cstheme="majorBidi"/>
          <w:sz w:val="24"/>
          <w:szCs w:val="24"/>
        </w:rPr>
      </w:pPr>
    </w:p>
    <w:p w14:paraId="140F27FA" w14:textId="780E9C89" w:rsidR="00B4189D" w:rsidRDefault="00B4189D" w:rsidP="00B4189D">
      <w:pPr>
        <w:pStyle w:val="ListParagraph"/>
        <w:numPr>
          <w:ilvl w:val="0"/>
          <w:numId w:val="6"/>
        </w:numPr>
        <w:jc w:val="both"/>
        <w:rPr>
          <w:rFonts w:asciiTheme="majorBidi" w:hAnsiTheme="majorBidi" w:cstheme="majorBidi"/>
          <w:b/>
          <w:bCs/>
          <w:sz w:val="24"/>
          <w:szCs w:val="24"/>
        </w:rPr>
      </w:pPr>
      <w:r w:rsidRPr="00B4189D">
        <w:rPr>
          <w:rFonts w:asciiTheme="majorBidi" w:hAnsiTheme="majorBidi" w:cstheme="majorBidi"/>
          <w:b/>
          <w:bCs/>
          <w:sz w:val="24"/>
          <w:szCs w:val="24"/>
        </w:rPr>
        <w:t>HRD continued with the second day of the three-day capacity-building training for members of the Western Equatoria State Transitional Legislative Assembly</w:t>
      </w:r>
      <w:r>
        <w:rPr>
          <w:rFonts w:asciiTheme="majorBidi" w:hAnsiTheme="majorBidi" w:cstheme="majorBidi"/>
          <w:b/>
          <w:bCs/>
          <w:sz w:val="24"/>
          <w:szCs w:val="24"/>
        </w:rPr>
        <w:t>;</w:t>
      </w:r>
      <w:r w:rsidRPr="00B4189D">
        <w:rPr>
          <w:rFonts w:asciiTheme="majorBidi" w:hAnsiTheme="majorBidi" w:cstheme="majorBidi"/>
          <w:b/>
          <w:bCs/>
          <w:sz w:val="24"/>
          <w:szCs w:val="24"/>
        </w:rPr>
        <w:t xml:space="preserve"> </w:t>
      </w:r>
    </w:p>
    <w:p w14:paraId="4AAD8785" w14:textId="77777777" w:rsidR="00075CD8" w:rsidRPr="00075CD8" w:rsidRDefault="00075CD8" w:rsidP="00075CD8">
      <w:pPr>
        <w:ind w:firstLine="720"/>
      </w:pPr>
    </w:p>
    <w:p w14:paraId="0928972E" w14:textId="29D60F21" w:rsidR="00AC1D6C" w:rsidRDefault="00AC1D6C" w:rsidP="00AC1D6C">
      <w:pPr>
        <w:ind w:left="360"/>
        <w:jc w:val="both"/>
        <w:rPr>
          <w:rFonts w:asciiTheme="majorBidi" w:hAnsiTheme="majorBidi" w:cstheme="majorBidi"/>
          <w:sz w:val="24"/>
          <w:szCs w:val="24"/>
        </w:rPr>
      </w:pPr>
      <w:r w:rsidRPr="00AC1D6C">
        <w:rPr>
          <w:rFonts w:asciiTheme="majorBidi" w:hAnsiTheme="majorBidi" w:cstheme="majorBidi"/>
          <w:sz w:val="24"/>
          <w:szCs w:val="24"/>
        </w:rPr>
        <w:lastRenderedPageBreak/>
        <w:t xml:space="preserve">On 14 November, HRD continued with the second day of the three-day capacity-building training for members of the </w:t>
      </w:r>
      <w:r>
        <w:rPr>
          <w:rFonts w:asciiTheme="majorBidi" w:hAnsiTheme="majorBidi" w:cstheme="majorBidi"/>
          <w:sz w:val="24"/>
          <w:szCs w:val="24"/>
        </w:rPr>
        <w:t xml:space="preserve">Western </w:t>
      </w:r>
      <w:r w:rsidRPr="00AC1D6C">
        <w:rPr>
          <w:rFonts w:asciiTheme="majorBidi" w:hAnsiTheme="majorBidi" w:cstheme="majorBidi"/>
          <w:sz w:val="24"/>
          <w:szCs w:val="24"/>
        </w:rPr>
        <w:t xml:space="preserve">Equatoria State Transitional Legislative Assembly. </w:t>
      </w:r>
    </w:p>
    <w:p w14:paraId="55988E84" w14:textId="7070A5B8" w:rsidR="00D8716A" w:rsidRDefault="00AC1D6C" w:rsidP="00AC1D6C">
      <w:pPr>
        <w:ind w:left="360"/>
        <w:jc w:val="both"/>
        <w:rPr>
          <w:rFonts w:asciiTheme="majorBidi" w:hAnsiTheme="majorBidi" w:cstheme="majorBidi"/>
          <w:sz w:val="24"/>
          <w:szCs w:val="24"/>
        </w:rPr>
      </w:pPr>
      <w:r w:rsidRPr="00AC1D6C">
        <w:rPr>
          <w:rFonts w:asciiTheme="majorBidi" w:hAnsiTheme="majorBidi" w:cstheme="majorBidi"/>
          <w:sz w:val="24"/>
          <w:szCs w:val="24"/>
        </w:rPr>
        <w:t xml:space="preserve">The </w:t>
      </w:r>
      <w:r>
        <w:rPr>
          <w:rFonts w:asciiTheme="majorBidi" w:hAnsiTheme="majorBidi" w:cstheme="majorBidi"/>
          <w:sz w:val="24"/>
          <w:szCs w:val="24"/>
        </w:rPr>
        <w:t xml:space="preserve">second </w:t>
      </w:r>
      <w:r w:rsidRPr="00AC1D6C">
        <w:rPr>
          <w:rFonts w:asciiTheme="majorBidi" w:hAnsiTheme="majorBidi" w:cstheme="majorBidi"/>
          <w:sz w:val="24"/>
          <w:szCs w:val="24"/>
        </w:rPr>
        <w:t xml:space="preserve">day began </w:t>
      </w:r>
      <w:r>
        <w:rPr>
          <w:rFonts w:asciiTheme="majorBidi" w:hAnsiTheme="majorBidi" w:cstheme="majorBidi"/>
          <w:sz w:val="24"/>
          <w:szCs w:val="24"/>
        </w:rPr>
        <w:t xml:space="preserve">with elucidating </w:t>
      </w:r>
      <w:r w:rsidRPr="00AC1D6C">
        <w:rPr>
          <w:rFonts w:asciiTheme="majorBidi" w:hAnsiTheme="majorBidi" w:cstheme="majorBidi"/>
          <w:sz w:val="24"/>
          <w:szCs w:val="24"/>
        </w:rPr>
        <w:t xml:space="preserve">on the relationship between human rights and law-making process. </w:t>
      </w:r>
      <w:r w:rsidR="00DB307B">
        <w:rPr>
          <w:rFonts w:asciiTheme="majorBidi" w:hAnsiTheme="majorBidi" w:cstheme="majorBidi"/>
          <w:sz w:val="24"/>
          <w:szCs w:val="24"/>
        </w:rPr>
        <w:t>The session</w:t>
      </w:r>
      <w:r w:rsidRPr="00AC1D6C">
        <w:rPr>
          <w:rFonts w:asciiTheme="majorBidi" w:hAnsiTheme="majorBidi" w:cstheme="majorBidi"/>
          <w:sz w:val="24"/>
          <w:szCs w:val="24"/>
        </w:rPr>
        <w:t xml:space="preserve"> guided participants through approaches to ensure that laws enacted by the Assembly are consistent with international and regional human rights standards. The discussion emphasized the importance of conducting human rights impact assessments during the drafting and enactment of laws to identify and mitigate any potential negative implications. </w:t>
      </w:r>
    </w:p>
    <w:p w14:paraId="18AB3457" w14:textId="225E2D03" w:rsidR="00D8716A" w:rsidRDefault="00DB307B" w:rsidP="00AC1D6C">
      <w:pPr>
        <w:ind w:left="360"/>
        <w:jc w:val="both"/>
        <w:rPr>
          <w:rFonts w:asciiTheme="majorBidi" w:hAnsiTheme="majorBidi" w:cstheme="majorBidi"/>
          <w:sz w:val="24"/>
          <w:szCs w:val="24"/>
        </w:rPr>
      </w:pPr>
      <w:r>
        <w:rPr>
          <w:rFonts w:asciiTheme="majorBidi" w:hAnsiTheme="majorBidi" w:cstheme="majorBidi"/>
          <w:sz w:val="24"/>
          <w:szCs w:val="24"/>
        </w:rPr>
        <w:t xml:space="preserve">Furthermore, </w:t>
      </w:r>
      <w:r w:rsidR="00B4189D">
        <w:rPr>
          <w:rFonts w:asciiTheme="majorBidi" w:hAnsiTheme="majorBidi" w:cstheme="majorBidi"/>
          <w:sz w:val="24"/>
          <w:szCs w:val="24"/>
        </w:rPr>
        <w:t xml:space="preserve">the training also </w:t>
      </w:r>
      <w:r w:rsidR="00AC1D6C" w:rsidRPr="00AC1D6C">
        <w:rPr>
          <w:rFonts w:asciiTheme="majorBidi" w:hAnsiTheme="majorBidi" w:cstheme="majorBidi"/>
          <w:sz w:val="24"/>
          <w:szCs w:val="24"/>
        </w:rPr>
        <w:t xml:space="preserve">examined the oversight role of the Western Equatoria State Legislative Assembly in the protection of human rights. This session emphasized the Assembly’s responsibility to use its oversight powers, such as through committees and public hearings, to hold institutions accountable. </w:t>
      </w:r>
      <w:r w:rsidR="00B4189D">
        <w:rPr>
          <w:rFonts w:asciiTheme="majorBidi" w:hAnsiTheme="majorBidi" w:cstheme="majorBidi"/>
          <w:sz w:val="24"/>
          <w:szCs w:val="24"/>
        </w:rPr>
        <w:t>This led to</w:t>
      </w:r>
      <w:r w:rsidR="00AC1D6C" w:rsidRPr="00AC1D6C">
        <w:rPr>
          <w:rFonts w:asciiTheme="majorBidi" w:hAnsiTheme="majorBidi" w:cstheme="majorBidi"/>
          <w:sz w:val="24"/>
          <w:szCs w:val="24"/>
        </w:rPr>
        <w:t xml:space="preserve"> discuss</w:t>
      </w:r>
      <w:r w:rsidR="00B4189D">
        <w:rPr>
          <w:rFonts w:asciiTheme="majorBidi" w:hAnsiTheme="majorBidi" w:cstheme="majorBidi"/>
          <w:sz w:val="24"/>
          <w:szCs w:val="24"/>
        </w:rPr>
        <w:t>ions on</w:t>
      </w:r>
      <w:r w:rsidR="00AC1D6C" w:rsidRPr="00AC1D6C">
        <w:rPr>
          <w:rFonts w:asciiTheme="majorBidi" w:hAnsiTheme="majorBidi" w:cstheme="majorBidi"/>
          <w:sz w:val="24"/>
          <w:szCs w:val="24"/>
        </w:rPr>
        <w:t xml:space="preserve"> how effective oversight mechanisms can be used to address human rights violations, including cases involving security forces, arbitrary detention, and restrictions on civic space. </w:t>
      </w:r>
    </w:p>
    <w:p w14:paraId="3D8CBC81" w14:textId="1DFFBE02" w:rsidR="00B4189D" w:rsidRDefault="00B4189D" w:rsidP="00AC1D6C">
      <w:pPr>
        <w:ind w:left="360"/>
        <w:jc w:val="both"/>
        <w:rPr>
          <w:rFonts w:asciiTheme="majorBidi" w:hAnsiTheme="majorBidi" w:cstheme="majorBidi"/>
          <w:sz w:val="24"/>
          <w:szCs w:val="24"/>
        </w:rPr>
      </w:pPr>
      <w:r>
        <w:rPr>
          <w:rFonts w:asciiTheme="majorBidi" w:hAnsiTheme="majorBidi" w:cstheme="majorBidi"/>
          <w:sz w:val="24"/>
          <w:szCs w:val="24"/>
        </w:rPr>
        <w:t xml:space="preserve">Civil Affairs </w:t>
      </w:r>
      <w:r>
        <w:rPr>
          <w:rFonts w:asciiTheme="majorBidi" w:hAnsiTheme="majorBidi" w:cstheme="majorBidi"/>
          <w:sz w:val="24"/>
          <w:szCs w:val="24"/>
        </w:rPr>
        <w:t xml:space="preserve">Division </w:t>
      </w:r>
      <w:r>
        <w:rPr>
          <w:rFonts w:asciiTheme="majorBidi" w:hAnsiTheme="majorBidi" w:cstheme="majorBidi"/>
          <w:sz w:val="24"/>
          <w:szCs w:val="24"/>
        </w:rPr>
        <w:t>also gave a session o</w:t>
      </w:r>
      <w:r w:rsidRPr="00AC1D6C">
        <w:rPr>
          <w:rFonts w:asciiTheme="majorBidi" w:hAnsiTheme="majorBidi" w:cstheme="majorBidi"/>
          <w:sz w:val="24"/>
          <w:szCs w:val="24"/>
        </w:rPr>
        <w:t>n Women, Peace, and Security agenda and the critical role of the Women’s Caucus in advancing gender-responsive governance. Participants reviewed the draft Strategic Plan of the Women’s Caucus and discussed practical ways to strengthen its implementation to ensure that women’s perspectives and priorities are fully integrated into legislative work and policy development.</w:t>
      </w:r>
    </w:p>
    <w:p w14:paraId="0161505C" w14:textId="6013B4DC" w:rsidR="00AC1D6C" w:rsidRPr="00B4189D" w:rsidRDefault="00B4189D" w:rsidP="00B4189D">
      <w:pPr>
        <w:ind w:left="360"/>
        <w:jc w:val="both"/>
        <w:rPr>
          <w:rFonts w:asciiTheme="majorBidi" w:hAnsiTheme="majorBidi" w:cstheme="majorBidi"/>
          <w:sz w:val="24"/>
          <w:szCs w:val="24"/>
        </w:rPr>
      </w:pPr>
      <w:r>
        <w:rPr>
          <w:rFonts w:asciiTheme="majorBidi" w:hAnsiTheme="majorBidi" w:cstheme="majorBidi"/>
          <w:sz w:val="24"/>
          <w:szCs w:val="24"/>
        </w:rPr>
        <w:t xml:space="preserve">RoLSIS concluded by giving a session on </w:t>
      </w:r>
      <w:r w:rsidR="00AC1D6C" w:rsidRPr="00AC1D6C">
        <w:rPr>
          <w:rFonts w:asciiTheme="majorBidi" w:hAnsiTheme="majorBidi" w:cstheme="majorBidi"/>
          <w:sz w:val="24"/>
          <w:szCs w:val="24"/>
        </w:rPr>
        <w:t xml:space="preserve">the Bill of Rights and its role in safeguarding fundamental freedoms and equality before the law. </w:t>
      </w:r>
      <w:r>
        <w:rPr>
          <w:rFonts w:asciiTheme="majorBidi" w:hAnsiTheme="majorBidi" w:cstheme="majorBidi"/>
          <w:sz w:val="24"/>
          <w:szCs w:val="24"/>
        </w:rPr>
        <w:t>They</w:t>
      </w:r>
      <w:r w:rsidR="00AC1D6C" w:rsidRPr="00AC1D6C">
        <w:rPr>
          <w:rFonts w:asciiTheme="majorBidi" w:hAnsiTheme="majorBidi" w:cstheme="majorBidi"/>
          <w:sz w:val="24"/>
          <w:szCs w:val="24"/>
        </w:rPr>
        <w:t xml:space="preserve"> elaborated on key constitutional provisions and underscored the responsibility of legislators to uphold these principles through effective law-makin</w:t>
      </w:r>
      <w:r>
        <w:rPr>
          <w:rFonts w:asciiTheme="majorBidi" w:hAnsiTheme="majorBidi" w:cstheme="majorBidi"/>
          <w:sz w:val="24"/>
          <w:szCs w:val="24"/>
        </w:rPr>
        <w:t>g</w:t>
      </w:r>
      <w:r w:rsidR="00AC1D6C" w:rsidRPr="00AC1D6C">
        <w:rPr>
          <w:rFonts w:asciiTheme="majorBidi" w:hAnsiTheme="majorBidi" w:cstheme="majorBidi"/>
          <w:sz w:val="24"/>
          <w:szCs w:val="24"/>
        </w:rPr>
        <w:t xml:space="preserve">. </w:t>
      </w:r>
    </w:p>
    <w:p w14:paraId="641D1370" w14:textId="0BD18ED6" w:rsidR="00EE5BD1" w:rsidRPr="00C531DA" w:rsidRDefault="00EE5BD1" w:rsidP="00EE5BD1">
      <w:pPr>
        <w:pStyle w:val="ListParagraph"/>
        <w:numPr>
          <w:ilvl w:val="0"/>
          <w:numId w:val="1"/>
        </w:numPr>
        <w:jc w:val="both"/>
        <w:rPr>
          <w:rFonts w:asciiTheme="majorBidi" w:hAnsiTheme="majorBidi" w:cstheme="majorBidi"/>
          <w:sz w:val="24"/>
          <w:szCs w:val="24"/>
        </w:rPr>
      </w:pPr>
      <w:r w:rsidRPr="00C531DA">
        <w:rPr>
          <w:rFonts w:asciiTheme="majorBidi" w:eastAsia="Palatino Linotype" w:hAnsiTheme="majorBidi" w:cstheme="majorBidi"/>
          <w:b/>
          <w:sz w:val="24"/>
          <w:szCs w:val="24"/>
        </w:rPr>
        <w:t>Other Key Human Rights and Protection Conce</w:t>
      </w:r>
      <w:bookmarkEnd w:id="5"/>
      <w:r w:rsidRPr="00C531DA">
        <w:rPr>
          <w:rFonts w:asciiTheme="majorBidi" w:eastAsia="Palatino Linotype" w:hAnsiTheme="majorBidi" w:cstheme="majorBidi"/>
          <w:b/>
          <w:sz w:val="24"/>
          <w:szCs w:val="24"/>
        </w:rPr>
        <w:t>rns</w:t>
      </w:r>
    </w:p>
    <w:p w14:paraId="4A7F997C" w14:textId="77777777" w:rsidR="00EE5BD1" w:rsidRPr="0088701D" w:rsidRDefault="00EE5BD1" w:rsidP="00EE5BD1">
      <w:pPr>
        <w:rPr>
          <w:rFonts w:asciiTheme="majorBidi" w:eastAsia="Palatino Linotype" w:hAnsiTheme="majorBidi" w:cstheme="majorBidi"/>
          <w:sz w:val="24"/>
          <w:szCs w:val="24"/>
        </w:rPr>
      </w:pPr>
    </w:p>
    <w:p w14:paraId="1C30162C" w14:textId="77777777" w:rsidR="00EE5BD1" w:rsidRPr="0088701D" w:rsidRDefault="00EE5BD1" w:rsidP="00EE5BD1">
      <w:pPr>
        <w:rPr>
          <w:rFonts w:asciiTheme="majorBidi" w:eastAsia="Palatino Linotype" w:hAnsiTheme="majorBidi" w:cstheme="majorBidi"/>
          <w:sz w:val="24"/>
          <w:szCs w:val="24"/>
        </w:rPr>
      </w:pPr>
    </w:p>
    <w:p w14:paraId="27A6BC6F" w14:textId="77777777" w:rsidR="00EE5BD1" w:rsidRDefault="00EE5BD1"/>
    <w:sectPr w:rsidR="00EE5BD1" w:rsidSect="00EE5BD1">
      <w:headerReference w:type="even" r:id="rId9"/>
      <w:headerReference w:type="default" r:id="rId10"/>
      <w:footerReference w:type="even" r:id="rId11"/>
      <w:footerReference w:type="default" r:id="rId12"/>
      <w:headerReference w:type="first" r:id="rId13"/>
      <w:footerReference w:type="firs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367B" w14:textId="77777777" w:rsidR="00D361BD" w:rsidRDefault="00D361BD" w:rsidP="00FE0F27">
      <w:pPr>
        <w:spacing w:after="0" w:line="240" w:lineRule="auto"/>
      </w:pPr>
      <w:r>
        <w:separator/>
      </w:r>
    </w:p>
  </w:endnote>
  <w:endnote w:type="continuationSeparator" w:id="0">
    <w:p w14:paraId="0F30AA28" w14:textId="77777777" w:rsidR="00D361BD" w:rsidRDefault="00D361BD" w:rsidP="00FE0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2976" w14:textId="77777777" w:rsidR="00075CD8" w:rsidRDefault="00075C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FB27137" w14:textId="77777777" w:rsidR="00EE5BD1" w:rsidRDefault="00EE5BD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BAE4F61" w14:textId="497BD09C" w:rsidR="00EE5BD1" w:rsidRPr="00182875" w:rsidRDefault="00EE5BD1"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2025111</w:t>
        </w:r>
        <w:r w:rsidR="00FE0F27">
          <w:rPr>
            <w:rFonts w:ascii="Times New Roman" w:hAnsi="Times New Roman" w:cs="Times New Roman"/>
            <w:color w:val="0070C0"/>
            <w:sz w:val="20"/>
            <w:szCs w:val="20"/>
          </w:rPr>
          <w:t>4</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9281494" w14:textId="77777777" w:rsidR="00EE5BD1" w:rsidRDefault="00EE5B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C022" w14:textId="77777777" w:rsidR="00075CD8" w:rsidRDefault="00075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6A626" w14:textId="77777777" w:rsidR="00D361BD" w:rsidRDefault="00D361BD" w:rsidP="00FE0F27">
      <w:pPr>
        <w:spacing w:after="0" w:line="240" w:lineRule="auto"/>
      </w:pPr>
      <w:r>
        <w:separator/>
      </w:r>
    </w:p>
  </w:footnote>
  <w:footnote w:type="continuationSeparator" w:id="0">
    <w:p w14:paraId="0502D4B8" w14:textId="77777777" w:rsidR="00D361BD" w:rsidRDefault="00D361BD" w:rsidP="00FE0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C3EF" w14:textId="77777777" w:rsidR="00075CD8" w:rsidRDefault="00075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1E6D" w14:textId="77777777" w:rsidR="00EE5BD1" w:rsidRDefault="00EE5BD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2FC1895" w14:textId="77777777" w:rsidR="00EE5BD1" w:rsidRPr="00182875" w:rsidRDefault="00EE5BD1">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124C" w14:textId="77777777" w:rsidR="00075CD8" w:rsidRDefault="00075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05A1225"/>
    <w:multiLevelType w:val="hybridMultilevel"/>
    <w:tmpl w:val="B65EC9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3"/>
  </w:num>
  <w:num w:numId="3" w16cid:durableId="231354213">
    <w:abstractNumId w:val="4"/>
  </w:num>
  <w:num w:numId="4" w16cid:durableId="95948070">
    <w:abstractNumId w:val="2"/>
  </w:num>
  <w:num w:numId="5" w16cid:durableId="19626203">
    <w:abstractNumId w:val="0"/>
  </w:num>
  <w:num w:numId="6" w16cid:durableId="1632636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D1"/>
    <w:rsid w:val="00023BEF"/>
    <w:rsid w:val="00075CD8"/>
    <w:rsid w:val="00284F34"/>
    <w:rsid w:val="00383BAC"/>
    <w:rsid w:val="00726894"/>
    <w:rsid w:val="008A1491"/>
    <w:rsid w:val="008C27E7"/>
    <w:rsid w:val="00AC1D6C"/>
    <w:rsid w:val="00B4189D"/>
    <w:rsid w:val="00B82F92"/>
    <w:rsid w:val="00BB4C3F"/>
    <w:rsid w:val="00D361BD"/>
    <w:rsid w:val="00D8716A"/>
    <w:rsid w:val="00DB307B"/>
    <w:rsid w:val="00EE5BD1"/>
    <w:rsid w:val="00FE0F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35FD"/>
  <w15:chartTrackingRefBased/>
  <w15:docId w15:val="{8BC82479-6975-40DB-99E7-D308B5E0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BD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E5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D1"/>
    <w:rPr>
      <w:rFonts w:eastAsiaTheme="majorEastAsia" w:cstheme="majorBidi"/>
      <w:color w:val="272727" w:themeColor="text1" w:themeTint="D8"/>
    </w:rPr>
  </w:style>
  <w:style w:type="paragraph" w:styleId="Title">
    <w:name w:val="Title"/>
    <w:basedOn w:val="Normal"/>
    <w:next w:val="Normal"/>
    <w:link w:val="TitleChar"/>
    <w:uiPriority w:val="10"/>
    <w:qFormat/>
    <w:rsid w:val="00EE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D1"/>
    <w:pPr>
      <w:spacing w:before="160"/>
      <w:jc w:val="center"/>
    </w:pPr>
    <w:rPr>
      <w:i/>
      <w:iCs/>
      <w:color w:val="404040" w:themeColor="text1" w:themeTint="BF"/>
    </w:rPr>
  </w:style>
  <w:style w:type="character" w:customStyle="1" w:styleId="QuoteChar">
    <w:name w:val="Quote Char"/>
    <w:basedOn w:val="DefaultParagraphFont"/>
    <w:link w:val="Quote"/>
    <w:uiPriority w:val="29"/>
    <w:rsid w:val="00EE5BD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E5BD1"/>
    <w:pPr>
      <w:ind w:left="720"/>
      <w:contextualSpacing/>
    </w:pPr>
  </w:style>
  <w:style w:type="character" w:styleId="IntenseEmphasis">
    <w:name w:val="Intense Emphasis"/>
    <w:basedOn w:val="DefaultParagraphFont"/>
    <w:uiPriority w:val="21"/>
    <w:qFormat/>
    <w:rsid w:val="00EE5BD1"/>
    <w:rPr>
      <w:i/>
      <w:iCs/>
      <w:color w:val="0F4761" w:themeColor="accent1" w:themeShade="BF"/>
    </w:rPr>
  </w:style>
  <w:style w:type="paragraph" w:styleId="IntenseQuote">
    <w:name w:val="Intense Quote"/>
    <w:basedOn w:val="Normal"/>
    <w:next w:val="Normal"/>
    <w:link w:val="IntenseQuoteChar"/>
    <w:uiPriority w:val="30"/>
    <w:qFormat/>
    <w:rsid w:val="00EE5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BD1"/>
    <w:rPr>
      <w:i/>
      <w:iCs/>
      <w:color w:val="0F4761" w:themeColor="accent1" w:themeShade="BF"/>
    </w:rPr>
  </w:style>
  <w:style w:type="character" w:styleId="IntenseReference">
    <w:name w:val="Intense Reference"/>
    <w:basedOn w:val="DefaultParagraphFont"/>
    <w:uiPriority w:val="32"/>
    <w:qFormat/>
    <w:rsid w:val="00EE5BD1"/>
    <w:rPr>
      <w:b/>
      <w:bCs/>
      <w:smallCaps/>
      <w:color w:val="0F4761" w:themeColor="accent1" w:themeShade="BF"/>
      <w:spacing w:val="5"/>
    </w:rPr>
  </w:style>
  <w:style w:type="paragraph" w:styleId="Footer">
    <w:name w:val="footer"/>
    <w:basedOn w:val="Normal"/>
    <w:link w:val="FooterChar"/>
    <w:uiPriority w:val="99"/>
    <w:unhideWhenUsed/>
    <w:rsid w:val="00EE5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BD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E5BD1"/>
  </w:style>
  <w:style w:type="paragraph" w:styleId="Header">
    <w:name w:val="header"/>
    <w:basedOn w:val="Normal"/>
    <w:link w:val="HeaderChar"/>
    <w:uiPriority w:val="99"/>
    <w:unhideWhenUsed/>
    <w:rsid w:val="00FE0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F2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155</TotalTime>
  <Pages>2</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Opubo Melford Goodhead</cp:lastModifiedBy>
  <cp:revision>3</cp:revision>
  <dcterms:created xsi:type="dcterms:W3CDTF">2025-11-14T13:54:00Z</dcterms:created>
  <dcterms:modified xsi:type="dcterms:W3CDTF">2025-11-14T18:55:00Z</dcterms:modified>
</cp:coreProperties>
</file>