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4386263"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32FFA5A9"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A97454">
        <w:rPr>
          <w:rFonts w:ascii="Times New Roman" w:eastAsia="Times New Roman" w:hAnsi="Times New Roman" w:cs="Times New Roman"/>
          <w:b/>
          <w:i/>
          <w:iCs/>
          <w:color w:val="4472C4" w:themeColor="accent1"/>
          <w:sz w:val="24"/>
          <w:szCs w:val="24"/>
        </w:rPr>
        <w:t>1</w:t>
      </w:r>
      <w:r w:rsidR="000150AB">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w:t>
      </w:r>
      <w:r w:rsidR="004D0F68">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327FA56C" w14:textId="02F4DBCC" w:rsidR="00EA6B8C" w:rsidRPr="00051E9D" w:rsidRDefault="00EA6B8C" w:rsidP="00051E9D">
      <w:pPr>
        <w:spacing w:line="240" w:lineRule="auto"/>
        <w:jc w:val="both"/>
        <w:rPr>
          <w:rFonts w:ascii="Times New Roman" w:hAnsi="Times New Roman" w:cs="Times New Roman"/>
          <w:i/>
          <w:iCs/>
          <w:sz w:val="24"/>
          <w:szCs w:val="24"/>
        </w:rPr>
      </w:pPr>
      <w:bookmarkStart w:id="0" w:name="_Hlk163836907"/>
    </w:p>
    <w:p w14:paraId="52987A7F" w14:textId="0D47AE4D" w:rsidR="00051E9D" w:rsidRPr="000150AB" w:rsidRDefault="00051E9D" w:rsidP="003D1743">
      <w:pPr>
        <w:pStyle w:val="ListParagraph"/>
        <w:numPr>
          <w:ilvl w:val="0"/>
          <w:numId w:val="24"/>
        </w:numPr>
        <w:spacing w:after="0" w:line="240" w:lineRule="auto"/>
        <w:jc w:val="both"/>
        <w:rPr>
          <w:rFonts w:asciiTheme="majorBidi" w:hAnsiTheme="majorBidi" w:cstheme="majorBidi"/>
          <w:i/>
          <w:iCs/>
          <w:sz w:val="24"/>
          <w:szCs w:val="24"/>
        </w:rPr>
      </w:pPr>
      <w:bookmarkStart w:id="1" w:name="_Hlk213773457"/>
      <w:r w:rsidRPr="000150AB">
        <w:rPr>
          <w:rFonts w:asciiTheme="majorBidi" w:eastAsia="Palatino Linotype" w:hAnsiTheme="majorBidi" w:cstheme="majorBidi"/>
          <w:i/>
          <w:iCs/>
          <w:sz w:val="24"/>
          <w:szCs w:val="24"/>
        </w:rPr>
        <w:t>HRD</w:t>
      </w:r>
      <w:r w:rsidR="00A97454" w:rsidRPr="000150AB">
        <w:rPr>
          <w:rFonts w:asciiTheme="majorBidi" w:hAnsiTheme="majorBidi" w:cstheme="majorBidi"/>
          <w:i/>
          <w:iCs/>
          <w:sz w:val="24"/>
          <w:szCs w:val="24"/>
        </w:rPr>
        <w:t xml:space="preserve"> </w:t>
      </w:r>
      <w:r w:rsidR="000150AB" w:rsidRPr="000150AB">
        <w:rPr>
          <w:rFonts w:asciiTheme="majorBidi" w:hAnsiTheme="majorBidi" w:cstheme="majorBidi"/>
          <w:i/>
          <w:iCs/>
          <w:sz w:val="24"/>
          <w:szCs w:val="24"/>
        </w:rPr>
        <w:t>c</w:t>
      </w:r>
      <w:r w:rsidR="000150AB" w:rsidRPr="000150AB">
        <w:rPr>
          <w:rFonts w:asciiTheme="majorBidi" w:hAnsiTheme="majorBidi" w:cstheme="majorBidi"/>
          <w:i/>
          <w:iCs/>
          <w:sz w:val="24"/>
          <w:szCs w:val="24"/>
        </w:rPr>
        <w:t>ontinues</w:t>
      </w:r>
      <w:r w:rsidR="000150AB" w:rsidRPr="000150AB">
        <w:rPr>
          <w:rFonts w:asciiTheme="majorBidi" w:hAnsiTheme="majorBidi" w:cstheme="majorBidi"/>
          <w:i/>
          <w:iCs/>
          <w:sz w:val="24"/>
          <w:szCs w:val="24"/>
        </w:rPr>
        <w:t xml:space="preserve"> to</w:t>
      </w:r>
      <w:r w:rsidR="000150AB" w:rsidRPr="000150AB">
        <w:rPr>
          <w:rFonts w:asciiTheme="majorBidi" w:hAnsiTheme="majorBidi" w:cstheme="majorBidi"/>
          <w:i/>
          <w:iCs/>
          <w:sz w:val="24"/>
          <w:szCs w:val="24"/>
        </w:rPr>
        <w:t xml:space="preserve"> </w:t>
      </w:r>
      <w:r w:rsidR="000150AB" w:rsidRPr="000150AB">
        <w:rPr>
          <w:rFonts w:asciiTheme="majorBidi" w:hAnsiTheme="majorBidi" w:cstheme="majorBidi"/>
          <w:i/>
          <w:iCs/>
          <w:sz w:val="24"/>
          <w:szCs w:val="24"/>
        </w:rPr>
        <w:t>m</w:t>
      </w:r>
      <w:r w:rsidR="000150AB" w:rsidRPr="000150AB">
        <w:rPr>
          <w:rFonts w:asciiTheme="majorBidi" w:hAnsiTheme="majorBidi" w:cstheme="majorBidi"/>
          <w:i/>
          <w:iCs/>
          <w:sz w:val="24"/>
          <w:szCs w:val="24"/>
        </w:rPr>
        <w:t>onitor</w:t>
      </w:r>
      <w:r w:rsidR="000150AB" w:rsidRPr="000150AB">
        <w:rPr>
          <w:rFonts w:asciiTheme="majorBidi" w:hAnsiTheme="majorBidi" w:cstheme="majorBidi"/>
          <w:i/>
          <w:iCs/>
          <w:sz w:val="24"/>
          <w:szCs w:val="24"/>
        </w:rPr>
        <w:t xml:space="preserve"> the</w:t>
      </w:r>
      <w:r w:rsidR="000150AB" w:rsidRPr="000150AB">
        <w:rPr>
          <w:rFonts w:asciiTheme="majorBidi" w:hAnsiTheme="majorBidi" w:cstheme="majorBidi"/>
          <w:i/>
          <w:iCs/>
          <w:sz w:val="24"/>
          <w:szCs w:val="24"/>
        </w:rPr>
        <w:t xml:space="preserve"> Mobile Court Proceedings</w:t>
      </w:r>
      <w:r w:rsidR="000150AB" w:rsidRPr="000150AB">
        <w:rPr>
          <w:rFonts w:asciiTheme="majorBidi" w:hAnsiTheme="majorBidi" w:cstheme="majorBidi"/>
          <w:i/>
          <w:iCs/>
          <w:sz w:val="24"/>
          <w:szCs w:val="24"/>
        </w:rPr>
        <w:t xml:space="preserve"> in Bunj,</w:t>
      </w:r>
      <w:r w:rsidR="000150AB" w:rsidRPr="000150AB">
        <w:rPr>
          <w:rFonts w:asciiTheme="majorBidi" w:hAnsiTheme="majorBidi" w:cstheme="majorBidi"/>
          <w:i/>
          <w:iCs/>
          <w:sz w:val="24"/>
          <w:szCs w:val="24"/>
        </w:rPr>
        <w:t xml:space="preserve"> </w:t>
      </w:r>
      <w:r w:rsidR="000150AB" w:rsidRPr="000150AB">
        <w:rPr>
          <w:rFonts w:asciiTheme="majorBidi" w:hAnsiTheme="majorBidi" w:cstheme="majorBidi"/>
          <w:i/>
          <w:iCs/>
          <w:sz w:val="24"/>
          <w:szCs w:val="24"/>
        </w:rPr>
        <w:t>e</w:t>
      </w:r>
      <w:r w:rsidR="000150AB" w:rsidRPr="000150AB">
        <w:rPr>
          <w:rFonts w:asciiTheme="majorBidi" w:hAnsiTheme="majorBidi" w:cstheme="majorBidi"/>
          <w:i/>
          <w:iCs/>
          <w:sz w:val="24"/>
          <w:szCs w:val="24"/>
        </w:rPr>
        <w:t xml:space="preserve">nsuring </w:t>
      </w:r>
      <w:r w:rsidR="000150AB" w:rsidRPr="000150AB">
        <w:rPr>
          <w:rFonts w:asciiTheme="majorBidi" w:hAnsiTheme="majorBidi" w:cstheme="majorBidi"/>
          <w:i/>
          <w:iCs/>
          <w:sz w:val="24"/>
          <w:szCs w:val="24"/>
        </w:rPr>
        <w:t>f</w:t>
      </w:r>
      <w:r w:rsidR="000150AB" w:rsidRPr="000150AB">
        <w:rPr>
          <w:rFonts w:asciiTheme="majorBidi" w:hAnsiTheme="majorBidi" w:cstheme="majorBidi"/>
          <w:i/>
          <w:iCs/>
          <w:sz w:val="24"/>
          <w:szCs w:val="24"/>
        </w:rPr>
        <w:t xml:space="preserve">air </w:t>
      </w:r>
      <w:r w:rsidR="000150AB" w:rsidRPr="000150AB">
        <w:rPr>
          <w:rFonts w:asciiTheme="majorBidi" w:hAnsiTheme="majorBidi" w:cstheme="majorBidi"/>
          <w:i/>
          <w:iCs/>
          <w:sz w:val="24"/>
          <w:szCs w:val="24"/>
        </w:rPr>
        <w:t>t</w:t>
      </w:r>
      <w:r w:rsidR="000150AB" w:rsidRPr="000150AB">
        <w:rPr>
          <w:rFonts w:asciiTheme="majorBidi" w:hAnsiTheme="majorBidi" w:cstheme="majorBidi"/>
          <w:i/>
          <w:iCs/>
          <w:sz w:val="24"/>
          <w:szCs w:val="24"/>
        </w:rPr>
        <w:t xml:space="preserve">rial </w:t>
      </w:r>
      <w:r w:rsidR="000150AB" w:rsidRPr="000150AB">
        <w:rPr>
          <w:rFonts w:asciiTheme="majorBidi" w:hAnsiTheme="majorBidi" w:cstheme="majorBidi"/>
          <w:i/>
          <w:iCs/>
          <w:sz w:val="24"/>
          <w:szCs w:val="24"/>
        </w:rPr>
        <w:t>s</w:t>
      </w:r>
      <w:r w:rsidR="000150AB" w:rsidRPr="000150AB">
        <w:rPr>
          <w:rFonts w:asciiTheme="majorBidi" w:hAnsiTheme="majorBidi" w:cstheme="majorBidi"/>
          <w:i/>
          <w:iCs/>
          <w:sz w:val="24"/>
          <w:szCs w:val="24"/>
        </w:rPr>
        <w:t xml:space="preserve">tandards and </w:t>
      </w:r>
      <w:r w:rsidR="000150AB" w:rsidRPr="000150AB">
        <w:rPr>
          <w:rFonts w:asciiTheme="majorBidi" w:hAnsiTheme="majorBidi" w:cstheme="majorBidi"/>
          <w:i/>
          <w:iCs/>
          <w:sz w:val="24"/>
          <w:szCs w:val="24"/>
        </w:rPr>
        <w:t>s</w:t>
      </w:r>
      <w:r w:rsidR="000150AB" w:rsidRPr="000150AB">
        <w:rPr>
          <w:rFonts w:asciiTheme="majorBidi" w:hAnsiTheme="majorBidi" w:cstheme="majorBidi"/>
          <w:i/>
          <w:iCs/>
          <w:sz w:val="24"/>
          <w:szCs w:val="24"/>
        </w:rPr>
        <w:t xml:space="preserve">upport to </w:t>
      </w:r>
      <w:r w:rsidR="000150AB" w:rsidRPr="000150AB">
        <w:rPr>
          <w:rFonts w:asciiTheme="majorBidi" w:hAnsiTheme="majorBidi" w:cstheme="majorBidi"/>
          <w:i/>
          <w:iCs/>
          <w:sz w:val="24"/>
          <w:szCs w:val="24"/>
        </w:rPr>
        <w:t>v</w:t>
      </w:r>
      <w:r w:rsidR="000150AB" w:rsidRPr="000150AB">
        <w:rPr>
          <w:rFonts w:asciiTheme="majorBidi" w:hAnsiTheme="majorBidi" w:cstheme="majorBidi"/>
          <w:i/>
          <w:iCs/>
          <w:sz w:val="24"/>
          <w:szCs w:val="24"/>
        </w:rPr>
        <w:t>ictims</w:t>
      </w:r>
    </w:p>
    <w:bookmarkEnd w:id="1"/>
    <w:p w14:paraId="1B4DDE66" w14:textId="77777777" w:rsidR="000150AB" w:rsidRPr="000150AB" w:rsidRDefault="000150AB" w:rsidP="000150AB">
      <w:pPr>
        <w:pStyle w:val="ListParagraph"/>
        <w:spacing w:after="0" w:line="240" w:lineRule="auto"/>
        <w:jc w:val="both"/>
        <w:rPr>
          <w:rFonts w:ascii="Times New Roman" w:hAnsi="Times New Roman" w:cs="Times New Roman"/>
          <w:i/>
          <w:iCs/>
          <w:sz w:val="24"/>
          <w:szCs w:val="24"/>
        </w:rPr>
      </w:pP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03996006"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2"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05470BBA" w14:textId="133AFC61" w:rsidR="00DB713E" w:rsidRPr="00953F80" w:rsidRDefault="00874A46" w:rsidP="00DB713E">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3" w:name="_Hlk187242477"/>
      <w:r w:rsidR="006B1594">
        <w:rPr>
          <w:rFonts w:ascii="Times New Roman" w:eastAsia="Palatino Linotype" w:hAnsi="Times New Roman" w:cs="Times New Roman"/>
          <w:b/>
          <w:bCs/>
          <w:sz w:val="24"/>
          <w:szCs w:val="24"/>
        </w:rPr>
        <w:t xml:space="preserve"> </w:t>
      </w:r>
      <w:r w:rsidR="00830D9B">
        <w:rPr>
          <w:rFonts w:ascii="Times New Roman" w:eastAsia="Palatino Linotype" w:hAnsi="Times New Roman" w:cs="Times New Roman"/>
          <w:b/>
          <w:bCs/>
          <w:sz w:val="24"/>
          <w:szCs w:val="24"/>
        </w:rPr>
        <w:t>–</w:t>
      </w:r>
      <w:r w:rsidR="0018780D">
        <w:rPr>
          <w:rFonts w:ascii="Times New Roman" w:eastAsia="Palatino Linotype" w:hAnsi="Times New Roman" w:cs="Times New Roman"/>
          <w:b/>
          <w:bCs/>
          <w:sz w:val="24"/>
          <w:szCs w:val="24"/>
        </w:rPr>
        <w:t xml:space="preserve"> </w:t>
      </w:r>
    </w:p>
    <w:p w14:paraId="073C5C9D" w14:textId="77777777" w:rsidR="00953F80" w:rsidRDefault="00953F80" w:rsidP="00953F80">
      <w:pPr>
        <w:pStyle w:val="ListParagraph"/>
        <w:rPr>
          <w:rFonts w:ascii="Times New Roman" w:eastAsia="Palatino Linotype" w:hAnsi="Times New Roman" w:cs="Times New Roman"/>
          <w:sz w:val="24"/>
          <w:szCs w:val="24"/>
        </w:rPr>
      </w:pPr>
    </w:p>
    <w:p w14:paraId="4701A7BD" w14:textId="54D39941" w:rsidR="000150AB" w:rsidRPr="000150AB" w:rsidRDefault="000150AB" w:rsidP="000150AB">
      <w:pPr>
        <w:pStyle w:val="ListParagraph"/>
        <w:numPr>
          <w:ilvl w:val="0"/>
          <w:numId w:val="24"/>
        </w:numPr>
        <w:spacing w:after="0" w:line="240" w:lineRule="auto"/>
        <w:jc w:val="both"/>
        <w:rPr>
          <w:rFonts w:asciiTheme="majorBidi" w:hAnsiTheme="majorBidi" w:cstheme="majorBidi"/>
          <w:b/>
          <w:bCs/>
          <w:i/>
          <w:iCs/>
          <w:sz w:val="24"/>
          <w:szCs w:val="24"/>
        </w:rPr>
      </w:pPr>
      <w:r w:rsidRPr="000150AB">
        <w:rPr>
          <w:rFonts w:asciiTheme="majorBidi" w:eastAsia="Palatino Linotype" w:hAnsiTheme="majorBidi" w:cstheme="majorBidi"/>
          <w:b/>
          <w:bCs/>
          <w:i/>
          <w:iCs/>
          <w:sz w:val="24"/>
          <w:szCs w:val="24"/>
        </w:rPr>
        <w:t>HRD</w:t>
      </w:r>
      <w:r w:rsidRPr="000150AB">
        <w:rPr>
          <w:rFonts w:asciiTheme="majorBidi" w:hAnsiTheme="majorBidi" w:cstheme="majorBidi"/>
          <w:b/>
          <w:bCs/>
          <w:i/>
          <w:iCs/>
          <w:sz w:val="24"/>
          <w:szCs w:val="24"/>
        </w:rPr>
        <w:t xml:space="preserve"> continues to monitor the Mobile Court Proceedings in Bunj, ensuring fair trial standards and support to victims</w:t>
      </w:r>
    </w:p>
    <w:p w14:paraId="6B6F59CC" w14:textId="4312E5AB" w:rsidR="00953F80" w:rsidRPr="00953F80" w:rsidRDefault="00953F80" w:rsidP="00953F80">
      <w:pPr>
        <w:pStyle w:val="NormalWeb"/>
        <w:jc w:val="both"/>
        <w:rPr>
          <w:sz w:val="22"/>
          <w:szCs w:val="22"/>
        </w:rPr>
      </w:pPr>
      <w:r w:rsidRPr="00953F80">
        <w:rPr>
          <w:sz w:val="22"/>
          <w:szCs w:val="22"/>
        </w:rPr>
        <w:t>HRD continued to monitor the ongoing sessions of the Maban Mobile Court held between 10 and 11 November 2025. As of 11 November, the court had conducted a total of 21 hearings, resulting in the conviction of six accused persons, four on 10 November and two on 11 November.</w:t>
      </w:r>
    </w:p>
    <w:p w14:paraId="29D4E6B7" w14:textId="77777777" w:rsidR="00953F80" w:rsidRPr="00953F80" w:rsidRDefault="00953F80" w:rsidP="00953F80">
      <w:pPr>
        <w:pStyle w:val="NormalWeb"/>
        <w:jc w:val="both"/>
        <w:rPr>
          <w:sz w:val="22"/>
          <w:szCs w:val="22"/>
        </w:rPr>
      </w:pPr>
      <w:r w:rsidRPr="00953F80">
        <w:rPr>
          <w:sz w:val="22"/>
          <w:szCs w:val="22"/>
        </w:rPr>
        <w:t>On 10 November, three accused were convicted under section 210 of the Penal Code Act (PCA) 2008 and sentenced to imprisonment ranging from two to three years, in addition to blood compensation of 21 cows each, in accordance with Mabanese Customary Law. Another accused person was convicted under section 96 PCA 2008 and sentenced to three years’ imprisonment, fined 1,000,000 SSP or, in default, six months’ imprisonment, as well as three cows in compensation to the victim under Mabanese Customary Law.</w:t>
      </w:r>
    </w:p>
    <w:p w14:paraId="67A3BAD7" w14:textId="77777777" w:rsidR="00953F80" w:rsidRPr="00953F80" w:rsidRDefault="00953F80" w:rsidP="00953F80">
      <w:pPr>
        <w:pStyle w:val="NormalWeb"/>
        <w:jc w:val="both"/>
        <w:rPr>
          <w:sz w:val="22"/>
          <w:szCs w:val="22"/>
        </w:rPr>
      </w:pPr>
      <w:r w:rsidRPr="00953F80">
        <w:rPr>
          <w:sz w:val="22"/>
          <w:szCs w:val="22"/>
        </w:rPr>
        <w:t>On 11 November, two accused were convicted under section 210 PCA 2008 and sentenced to imprisonment ranging from two to three months, along with fines between 300,000 and 1,000,000 SSP or, in default, two years’ imprisonment. The court further ordered each convict to pay blood compensation of 21 cows, or the monetary equivalent of 5,250,000 SSP, in line with Mabanese Customary Law. The court also confiscated two firearms used in the commission of the offences.</w:t>
      </w:r>
    </w:p>
    <w:p w14:paraId="0F43CB6F" w14:textId="4D6806EF" w:rsidR="00953F80" w:rsidRPr="00953F80" w:rsidRDefault="00953F80" w:rsidP="00953F80">
      <w:pPr>
        <w:pStyle w:val="NormalWeb"/>
        <w:jc w:val="both"/>
        <w:rPr>
          <w:sz w:val="22"/>
          <w:szCs w:val="22"/>
        </w:rPr>
      </w:pPr>
      <w:r w:rsidRPr="00953F80">
        <w:rPr>
          <w:sz w:val="22"/>
          <w:szCs w:val="22"/>
        </w:rPr>
        <w:lastRenderedPageBreak/>
        <w:t xml:space="preserve">The court dismissed three cases due to insufficient evidence, in accordance with section 226 of the Criminal Procedure Act (CPA) </w:t>
      </w:r>
      <w:r w:rsidRPr="00953F80">
        <w:rPr>
          <w:sz w:val="22"/>
          <w:szCs w:val="22"/>
        </w:rPr>
        <w:t>2008 and</w:t>
      </w:r>
      <w:r w:rsidRPr="00953F80">
        <w:rPr>
          <w:sz w:val="22"/>
          <w:szCs w:val="22"/>
        </w:rPr>
        <w:t xml:space="preserve"> consequently discharged and released four accused persons involved in those cases.</w:t>
      </w:r>
    </w:p>
    <w:p w14:paraId="36E0286F" w14:textId="77777777" w:rsidR="00953F80" w:rsidRPr="00953F80" w:rsidRDefault="00953F80" w:rsidP="00953F80">
      <w:pPr>
        <w:pStyle w:val="NormalWeb"/>
        <w:jc w:val="both"/>
        <w:rPr>
          <w:sz w:val="22"/>
          <w:szCs w:val="22"/>
        </w:rPr>
      </w:pPr>
      <w:r w:rsidRPr="00953F80">
        <w:rPr>
          <w:sz w:val="22"/>
          <w:szCs w:val="22"/>
        </w:rPr>
        <w:t>HRD observed that fair trial standards were generally upheld during the proceedings. These included equality of arms between the parties, use of a language understood by all participants, opportunity for both sides to present witnesses and evidence, access to legal representation, and clear communication by the judge regarding courtroom procedures. Public attendance was also permitted in line with the principles of transparency and open justice.</w:t>
      </w:r>
    </w:p>
    <w:p w14:paraId="507BEC43" w14:textId="4BE5F3B7" w:rsidR="00953F80" w:rsidRPr="00953F80" w:rsidRDefault="00953F80" w:rsidP="00953F80">
      <w:pPr>
        <w:pStyle w:val="NormalWeb"/>
        <w:jc w:val="both"/>
        <w:rPr>
          <w:sz w:val="22"/>
          <w:szCs w:val="22"/>
        </w:rPr>
      </w:pPr>
      <w:r w:rsidRPr="00953F80">
        <w:rPr>
          <w:sz w:val="22"/>
          <w:szCs w:val="22"/>
        </w:rPr>
        <w:t xml:space="preserve">The Mobile Court sessions are expected to continue until 18 November 2025, marking the conclusion of the current </w:t>
      </w:r>
      <w:r w:rsidRPr="00953F80">
        <w:rPr>
          <w:sz w:val="22"/>
          <w:szCs w:val="22"/>
        </w:rPr>
        <w:t>seating.</w:t>
      </w:r>
    </w:p>
    <w:p w14:paraId="7EF1C237" w14:textId="4439BE49" w:rsidR="00DB713E" w:rsidRPr="00953F80" w:rsidRDefault="00953F80" w:rsidP="00953F80">
      <w:pPr>
        <w:pStyle w:val="NormalWeb"/>
        <w:jc w:val="both"/>
        <w:rPr>
          <w:sz w:val="22"/>
          <w:szCs w:val="22"/>
        </w:rPr>
      </w:pPr>
      <w:r w:rsidRPr="00953F80">
        <w:rPr>
          <w:sz w:val="22"/>
          <w:szCs w:val="22"/>
        </w:rPr>
        <w:t>Throughout the proceedings, HRD continued to support access to justice by facilitating mobility assistance for victims and witnesses. The social counsellor also continued to provide psychosocial support, particularly to victims of SGBV cases.</w:t>
      </w:r>
    </w:p>
    <w:bookmarkEnd w:id="3"/>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4"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4"/>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6B21685A" w14:textId="4BCE2F07" w:rsidR="00A97454" w:rsidRPr="00A97454" w:rsidRDefault="00F64818" w:rsidP="00A97454">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A93C0B">
        <w:rPr>
          <w:rFonts w:ascii="Times New Roman" w:eastAsia="Palatino Linotype" w:hAnsi="Times New Roman" w:cs="Times New Roman"/>
          <w:b/>
          <w:sz w:val="24"/>
          <w:szCs w:val="24"/>
        </w:rPr>
        <w:t>-</w:t>
      </w:r>
      <w:r w:rsidR="00953F80">
        <w:rPr>
          <w:rFonts w:ascii="Times New Roman" w:eastAsia="Palatino Linotype" w:hAnsi="Times New Roman" w:cs="Times New Roman"/>
          <w:b/>
          <w:sz w:val="24"/>
          <w:szCs w:val="24"/>
        </w:rPr>
        <w:t xml:space="preserve"> </w:t>
      </w:r>
      <w:r w:rsidR="00953F80" w:rsidRPr="00953F80">
        <w:rPr>
          <w:rFonts w:ascii="Times New Roman" w:eastAsia="Palatino Linotype" w:hAnsi="Times New Roman" w:cs="Times New Roman"/>
          <w:bCs/>
          <w:i/>
          <w:iCs/>
          <w:sz w:val="24"/>
          <w:szCs w:val="24"/>
        </w:rPr>
        <w:t>NSTR</w:t>
      </w:r>
    </w:p>
    <w:p w14:paraId="36908D17" w14:textId="77777777" w:rsidR="00A97454" w:rsidRDefault="00A97454" w:rsidP="00A97454">
      <w:pPr>
        <w:spacing w:after="0" w:line="240" w:lineRule="auto"/>
        <w:contextualSpacing/>
        <w:jc w:val="both"/>
        <w:rPr>
          <w:rFonts w:ascii="Times New Roman" w:eastAsia="Palatino Linotype" w:hAnsi="Times New Roman" w:cs="Times New Roman"/>
          <w:bCs/>
          <w:sz w:val="24"/>
          <w:szCs w:val="24"/>
        </w:rPr>
      </w:pPr>
    </w:p>
    <w:p w14:paraId="00E94A1E" w14:textId="716BE01F" w:rsidR="00027417" w:rsidRPr="0015180D" w:rsidRDefault="00F64818" w:rsidP="00F90CFB">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15180D">
        <w:rPr>
          <w:rFonts w:ascii="Times New Roman" w:eastAsia="Palatino Linotype" w:hAnsi="Times New Roman" w:cs="Times New Roman"/>
          <w:b/>
          <w:sz w:val="24"/>
          <w:szCs w:val="24"/>
        </w:rPr>
        <w:t xml:space="preserve">Other </w:t>
      </w:r>
      <w:r w:rsidR="005D0786" w:rsidRPr="0015180D">
        <w:rPr>
          <w:rFonts w:ascii="Times New Roman" w:eastAsia="Palatino Linotype" w:hAnsi="Times New Roman" w:cs="Times New Roman"/>
          <w:b/>
          <w:sz w:val="24"/>
          <w:szCs w:val="24"/>
        </w:rPr>
        <w:t>K</w:t>
      </w:r>
      <w:r w:rsidRPr="0015180D">
        <w:rPr>
          <w:rFonts w:ascii="Times New Roman" w:eastAsia="Palatino Linotype" w:hAnsi="Times New Roman" w:cs="Times New Roman"/>
          <w:b/>
          <w:sz w:val="24"/>
          <w:szCs w:val="24"/>
        </w:rPr>
        <w:t xml:space="preserve">ey </w:t>
      </w:r>
      <w:r w:rsidR="005D0786" w:rsidRPr="0015180D">
        <w:rPr>
          <w:rFonts w:ascii="Times New Roman" w:eastAsia="Palatino Linotype" w:hAnsi="Times New Roman" w:cs="Times New Roman"/>
          <w:b/>
          <w:sz w:val="24"/>
          <w:szCs w:val="24"/>
        </w:rPr>
        <w:t>H</w:t>
      </w:r>
      <w:r w:rsidRPr="0015180D">
        <w:rPr>
          <w:rFonts w:ascii="Times New Roman" w:eastAsia="Palatino Linotype" w:hAnsi="Times New Roman" w:cs="Times New Roman"/>
          <w:b/>
          <w:sz w:val="24"/>
          <w:szCs w:val="24"/>
        </w:rPr>
        <w:t xml:space="preserve">uman </w:t>
      </w:r>
      <w:r w:rsidR="005D0786" w:rsidRPr="0015180D">
        <w:rPr>
          <w:rFonts w:ascii="Times New Roman" w:eastAsia="Palatino Linotype" w:hAnsi="Times New Roman" w:cs="Times New Roman"/>
          <w:b/>
          <w:sz w:val="24"/>
          <w:szCs w:val="24"/>
        </w:rPr>
        <w:t>R</w:t>
      </w:r>
      <w:r w:rsidRPr="0015180D">
        <w:rPr>
          <w:rFonts w:ascii="Times New Roman" w:eastAsia="Palatino Linotype" w:hAnsi="Times New Roman" w:cs="Times New Roman"/>
          <w:b/>
          <w:sz w:val="24"/>
          <w:szCs w:val="24"/>
        </w:rPr>
        <w:t xml:space="preserve">ights and </w:t>
      </w:r>
      <w:r w:rsidR="005D0786" w:rsidRPr="0015180D">
        <w:rPr>
          <w:rFonts w:ascii="Times New Roman" w:eastAsia="Palatino Linotype" w:hAnsi="Times New Roman" w:cs="Times New Roman"/>
          <w:b/>
          <w:sz w:val="24"/>
          <w:szCs w:val="24"/>
        </w:rPr>
        <w:t>P</w:t>
      </w:r>
      <w:r w:rsidRPr="0015180D">
        <w:rPr>
          <w:rFonts w:ascii="Times New Roman" w:eastAsia="Palatino Linotype" w:hAnsi="Times New Roman" w:cs="Times New Roman"/>
          <w:b/>
          <w:sz w:val="24"/>
          <w:szCs w:val="24"/>
        </w:rPr>
        <w:t xml:space="preserve">rotection </w:t>
      </w:r>
      <w:r w:rsidR="00AA186A" w:rsidRPr="0015180D">
        <w:rPr>
          <w:rFonts w:ascii="Times New Roman" w:eastAsia="Palatino Linotype" w:hAnsi="Times New Roman" w:cs="Times New Roman"/>
          <w:b/>
          <w:sz w:val="24"/>
          <w:szCs w:val="24"/>
        </w:rPr>
        <w:t xml:space="preserve">Concerns </w:t>
      </w:r>
      <w:r w:rsidR="004E3490">
        <w:rPr>
          <w:rFonts w:ascii="Times New Roman" w:eastAsia="Palatino Linotype" w:hAnsi="Times New Roman" w:cs="Times New Roman"/>
          <w:b/>
          <w:sz w:val="24"/>
          <w:szCs w:val="24"/>
        </w:rPr>
        <w:t xml:space="preserve">- </w:t>
      </w:r>
      <w:r w:rsidR="004E3490" w:rsidRPr="00A061E9">
        <w:rPr>
          <w:rFonts w:ascii="Times New Roman" w:eastAsia="Palatino Linotype" w:hAnsi="Times New Roman" w:cs="Times New Roman"/>
          <w:bCs/>
          <w:i/>
          <w:iCs/>
          <w:sz w:val="24"/>
          <w:szCs w:val="24"/>
        </w:rPr>
        <w:t>NSTR</w:t>
      </w:r>
    </w:p>
    <w:bookmarkEnd w:id="2"/>
    <w:p w14:paraId="2283EA16" w14:textId="77777777" w:rsidR="006F2AAD" w:rsidRPr="00292423" w:rsidRDefault="006F2AAD" w:rsidP="00292423">
      <w:pPr>
        <w:spacing w:before="100" w:beforeAutospacing="1" w:after="100" w:afterAutospacing="1" w:line="240" w:lineRule="auto"/>
        <w:jc w:val="both"/>
        <w:rPr>
          <w:rFonts w:asciiTheme="majorBidi" w:eastAsia="Calibri" w:hAnsiTheme="majorBidi" w:cstheme="majorBidi"/>
          <w:bCs/>
          <w:sz w:val="24"/>
          <w:szCs w:val="24"/>
        </w:rPr>
      </w:pPr>
    </w:p>
    <w:sectPr w:rsidR="006F2AAD"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A1D96" w14:textId="77777777" w:rsidR="00AA7A1E" w:rsidRDefault="00AA7A1E" w:rsidP="00182875">
      <w:pPr>
        <w:spacing w:after="0" w:line="240" w:lineRule="auto"/>
      </w:pPr>
      <w:r>
        <w:separator/>
      </w:r>
    </w:p>
  </w:endnote>
  <w:endnote w:type="continuationSeparator" w:id="0">
    <w:p w14:paraId="14308089" w14:textId="77777777" w:rsidR="00AA7A1E" w:rsidRDefault="00AA7A1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34684" w14:textId="77777777" w:rsidR="00AA7A1E" w:rsidRDefault="00AA7A1E" w:rsidP="00182875">
      <w:pPr>
        <w:spacing w:after="0" w:line="240" w:lineRule="auto"/>
      </w:pPr>
      <w:r>
        <w:separator/>
      </w:r>
    </w:p>
  </w:footnote>
  <w:footnote w:type="continuationSeparator" w:id="0">
    <w:p w14:paraId="5A2430D2" w14:textId="77777777" w:rsidR="00AA7A1E" w:rsidRDefault="00AA7A1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150AB"/>
    <w:rsid w:val="00024D61"/>
    <w:rsid w:val="000254D2"/>
    <w:rsid w:val="00026C15"/>
    <w:rsid w:val="00027417"/>
    <w:rsid w:val="000426CC"/>
    <w:rsid w:val="00051E9D"/>
    <w:rsid w:val="00056414"/>
    <w:rsid w:val="00057298"/>
    <w:rsid w:val="00060CFF"/>
    <w:rsid w:val="0006257F"/>
    <w:rsid w:val="0006338C"/>
    <w:rsid w:val="00066E54"/>
    <w:rsid w:val="0007027A"/>
    <w:rsid w:val="000837A3"/>
    <w:rsid w:val="00086976"/>
    <w:rsid w:val="000923D9"/>
    <w:rsid w:val="000933EC"/>
    <w:rsid w:val="000952CD"/>
    <w:rsid w:val="0009558D"/>
    <w:rsid w:val="00097CC2"/>
    <w:rsid w:val="000A061C"/>
    <w:rsid w:val="000A1D38"/>
    <w:rsid w:val="000A39F8"/>
    <w:rsid w:val="000A48FF"/>
    <w:rsid w:val="000A7284"/>
    <w:rsid w:val="000B0008"/>
    <w:rsid w:val="000B41D6"/>
    <w:rsid w:val="000B5487"/>
    <w:rsid w:val="000B5D06"/>
    <w:rsid w:val="000C07AF"/>
    <w:rsid w:val="000C0F4A"/>
    <w:rsid w:val="000C1AFD"/>
    <w:rsid w:val="000C21B4"/>
    <w:rsid w:val="000C3679"/>
    <w:rsid w:val="000D2631"/>
    <w:rsid w:val="000D2E38"/>
    <w:rsid w:val="000D4781"/>
    <w:rsid w:val="000E1152"/>
    <w:rsid w:val="000E1CB5"/>
    <w:rsid w:val="000E5F62"/>
    <w:rsid w:val="000E6296"/>
    <w:rsid w:val="000E681C"/>
    <w:rsid w:val="000F380C"/>
    <w:rsid w:val="000F4F4E"/>
    <w:rsid w:val="000F6345"/>
    <w:rsid w:val="001021A7"/>
    <w:rsid w:val="00107717"/>
    <w:rsid w:val="00113E34"/>
    <w:rsid w:val="0011737E"/>
    <w:rsid w:val="001240A2"/>
    <w:rsid w:val="00125BA4"/>
    <w:rsid w:val="001264CC"/>
    <w:rsid w:val="0013169C"/>
    <w:rsid w:val="0013209E"/>
    <w:rsid w:val="00132943"/>
    <w:rsid w:val="00135CA5"/>
    <w:rsid w:val="00135E7F"/>
    <w:rsid w:val="0014458D"/>
    <w:rsid w:val="00146831"/>
    <w:rsid w:val="00147A20"/>
    <w:rsid w:val="001514F3"/>
    <w:rsid w:val="0015180D"/>
    <w:rsid w:val="0015295F"/>
    <w:rsid w:val="001548CE"/>
    <w:rsid w:val="00160C09"/>
    <w:rsid w:val="0016368B"/>
    <w:rsid w:val="00164028"/>
    <w:rsid w:val="00166494"/>
    <w:rsid w:val="00167B4D"/>
    <w:rsid w:val="001722D2"/>
    <w:rsid w:val="00173497"/>
    <w:rsid w:val="001741D7"/>
    <w:rsid w:val="00174244"/>
    <w:rsid w:val="00175AE4"/>
    <w:rsid w:val="0017692B"/>
    <w:rsid w:val="00182875"/>
    <w:rsid w:val="0018288C"/>
    <w:rsid w:val="00182B1B"/>
    <w:rsid w:val="00182DE5"/>
    <w:rsid w:val="001830A3"/>
    <w:rsid w:val="00183500"/>
    <w:rsid w:val="00183E52"/>
    <w:rsid w:val="0018729F"/>
    <w:rsid w:val="0018757C"/>
    <w:rsid w:val="0018780D"/>
    <w:rsid w:val="0019137B"/>
    <w:rsid w:val="00191A3C"/>
    <w:rsid w:val="00191E4B"/>
    <w:rsid w:val="001A1DB0"/>
    <w:rsid w:val="001A341D"/>
    <w:rsid w:val="001B2F6E"/>
    <w:rsid w:val="001B7FCB"/>
    <w:rsid w:val="001C01BF"/>
    <w:rsid w:val="001C32FA"/>
    <w:rsid w:val="001C5BFF"/>
    <w:rsid w:val="001D0FA6"/>
    <w:rsid w:val="001D471F"/>
    <w:rsid w:val="001D5B48"/>
    <w:rsid w:val="001E096F"/>
    <w:rsid w:val="001E2106"/>
    <w:rsid w:val="001E422C"/>
    <w:rsid w:val="001E5B1B"/>
    <w:rsid w:val="001F7870"/>
    <w:rsid w:val="00203E31"/>
    <w:rsid w:val="00207CF1"/>
    <w:rsid w:val="00211B3B"/>
    <w:rsid w:val="00213533"/>
    <w:rsid w:val="00214B13"/>
    <w:rsid w:val="0021656B"/>
    <w:rsid w:val="00217686"/>
    <w:rsid w:val="00224C8B"/>
    <w:rsid w:val="00225950"/>
    <w:rsid w:val="0023126C"/>
    <w:rsid w:val="0023282A"/>
    <w:rsid w:val="0023307E"/>
    <w:rsid w:val="002342E3"/>
    <w:rsid w:val="002368EA"/>
    <w:rsid w:val="002401E5"/>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9D9"/>
    <w:rsid w:val="00296E0F"/>
    <w:rsid w:val="00297637"/>
    <w:rsid w:val="002A1A65"/>
    <w:rsid w:val="002B3397"/>
    <w:rsid w:val="002B6414"/>
    <w:rsid w:val="002B68AB"/>
    <w:rsid w:val="002B7499"/>
    <w:rsid w:val="002C0729"/>
    <w:rsid w:val="002C0EDC"/>
    <w:rsid w:val="002C34CB"/>
    <w:rsid w:val="002C43DB"/>
    <w:rsid w:val="002C4BA6"/>
    <w:rsid w:val="002C59D6"/>
    <w:rsid w:val="002C73AF"/>
    <w:rsid w:val="002E074B"/>
    <w:rsid w:val="002E4CB7"/>
    <w:rsid w:val="002E6CB4"/>
    <w:rsid w:val="002E6DBC"/>
    <w:rsid w:val="002E7C57"/>
    <w:rsid w:val="002F3C2E"/>
    <w:rsid w:val="002F7637"/>
    <w:rsid w:val="003113BD"/>
    <w:rsid w:val="00315EA9"/>
    <w:rsid w:val="003208B2"/>
    <w:rsid w:val="00321902"/>
    <w:rsid w:val="00322C78"/>
    <w:rsid w:val="0032518B"/>
    <w:rsid w:val="003259D0"/>
    <w:rsid w:val="00330EEB"/>
    <w:rsid w:val="00331AB5"/>
    <w:rsid w:val="00331BC1"/>
    <w:rsid w:val="00333678"/>
    <w:rsid w:val="00335A05"/>
    <w:rsid w:val="003367CD"/>
    <w:rsid w:val="00337F77"/>
    <w:rsid w:val="003428B0"/>
    <w:rsid w:val="00342943"/>
    <w:rsid w:val="003432E1"/>
    <w:rsid w:val="003505EF"/>
    <w:rsid w:val="00357446"/>
    <w:rsid w:val="00357A07"/>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374E"/>
    <w:rsid w:val="003C148D"/>
    <w:rsid w:val="003C2DBC"/>
    <w:rsid w:val="003C2DD8"/>
    <w:rsid w:val="003C35C2"/>
    <w:rsid w:val="003C4CBC"/>
    <w:rsid w:val="003C62BF"/>
    <w:rsid w:val="003C6872"/>
    <w:rsid w:val="003C6DFA"/>
    <w:rsid w:val="003D3DD8"/>
    <w:rsid w:val="003E01B3"/>
    <w:rsid w:val="003E1F47"/>
    <w:rsid w:val="003E560A"/>
    <w:rsid w:val="003F1B5D"/>
    <w:rsid w:val="003F3F25"/>
    <w:rsid w:val="00400704"/>
    <w:rsid w:val="004024FD"/>
    <w:rsid w:val="00404501"/>
    <w:rsid w:val="004138A9"/>
    <w:rsid w:val="00415128"/>
    <w:rsid w:val="00417366"/>
    <w:rsid w:val="00420EC2"/>
    <w:rsid w:val="00424C96"/>
    <w:rsid w:val="00431207"/>
    <w:rsid w:val="004324BB"/>
    <w:rsid w:val="00437246"/>
    <w:rsid w:val="00437B78"/>
    <w:rsid w:val="00441124"/>
    <w:rsid w:val="00441C5C"/>
    <w:rsid w:val="00443922"/>
    <w:rsid w:val="004452D3"/>
    <w:rsid w:val="004473F9"/>
    <w:rsid w:val="00460E51"/>
    <w:rsid w:val="004649F7"/>
    <w:rsid w:val="0046533E"/>
    <w:rsid w:val="00466FD5"/>
    <w:rsid w:val="0047097F"/>
    <w:rsid w:val="00472774"/>
    <w:rsid w:val="00472AC1"/>
    <w:rsid w:val="00481E58"/>
    <w:rsid w:val="00483AC9"/>
    <w:rsid w:val="00484454"/>
    <w:rsid w:val="00491F8B"/>
    <w:rsid w:val="0049410F"/>
    <w:rsid w:val="00496CD5"/>
    <w:rsid w:val="00497BFC"/>
    <w:rsid w:val="004A4A5A"/>
    <w:rsid w:val="004A4E92"/>
    <w:rsid w:val="004A62FF"/>
    <w:rsid w:val="004C458A"/>
    <w:rsid w:val="004D0F68"/>
    <w:rsid w:val="004D4D49"/>
    <w:rsid w:val="004E1E65"/>
    <w:rsid w:val="004E3490"/>
    <w:rsid w:val="004F0C06"/>
    <w:rsid w:val="004F1575"/>
    <w:rsid w:val="004F1DD0"/>
    <w:rsid w:val="004F4BA9"/>
    <w:rsid w:val="0050009C"/>
    <w:rsid w:val="00503F7D"/>
    <w:rsid w:val="00504A38"/>
    <w:rsid w:val="00506F14"/>
    <w:rsid w:val="00511096"/>
    <w:rsid w:val="00512B72"/>
    <w:rsid w:val="00512BFD"/>
    <w:rsid w:val="005137DE"/>
    <w:rsid w:val="00513DBA"/>
    <w:rsid w:val="005148AC"/>
    <w:rsid w:val="0051552C"/>
    <w:rsid w:val="005255E1"/>
    <w:rsid w:val="00531922"/>
    <w:rsid w:val="0053203F"/>
    <w:rsid w:val="005323A5"/>
    <w:rsid w:val="00532A16"/>
    <w:rsid w:val="00533BE0"/>
    <w:rsid w:val="00533F8D"/>
    <w:rsid w:val="00535125"/>
    <w:rsid w:val="005405A8"/>
    <w:rsid w:val="00542039"/>
    <w:rsid w:val="0054258D"/>
    <w:rsid w:val="005519A7"/>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35AC"/>
    <w:rsid w:val="00584C39"/>
    <w:rsid w:val="0058585D"/>
    <w:rsid w:val="005924B4"/>
    <w:rsid w:val="00594274"/>
    <w:rsid w:val="00595E74"/>
    <w:rsid w:val="005A096F"/>
    <w:rsid w:val="005A3447"/>
    <w:rsid w:val="005A5938"/>
    <w:rsid w:val="005A5C61"/>
    <w:rsid w:val="005B2291"/>
    <w:rsid w:val="005B23AA"/>
    <w:rsid w:val="005B274D"/>
    <w:rsid w:val="005B3DC2"/>
    <w:rsid w:val="005C1F47"/>
    <w:rsid w:val="005C2D07"/>
    <w:rsid w:val="005D0786"/>
    <w:rsid w:val="005D0E5A"/>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2C12"/>
    <w:rsid w:val="0061364F"/>
    <w:rsid w:val="00615C1C"/>
    <w:rsid w:val="00616D96"/>
    <w:rsid w:val="006209AF"/>
    <w:rsid w:val="00621169"/>
    <w:rsid w:val="00621E7D"/>
    <w:rsid w:val="00625908"/>
    <w:rsid w:val="006423BE"/>
    <w:rsid w:val="00645D0B"/>
    <w:rsid w:val="006519F3"/>
    <w:rsid w:val="00655E91"/>
    <w:rsid w:val="00657E07"/>
    <w:rsid w:val="00660788"/>
    <w:rsid w:val="00670DA7"/>
    <w:rsid w:val="00672AB0"/>
    <w:rsid w:val="0067536D"/>
    <w:rsid w:val="0068193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C2329"/>
    <w:rsid w:val="006D6792"/>
    <w:rsid w:val="006E20FE"/>
    <w:rsid w:val="006E56B4"/>
    <w:rsid w:val="006F200C"/>
    <w:rsid w:val="006F206A"/>
    <w:rsid w:val="006F2AAD"/>
    <w:rsid w:val="006F2D24"/>
    <w:rsid w:val="006F4C0E"/>
    <w:rsid w:val="006F6A3B"/>
    <w:rsid w:val="006F7BE4"/>
    <w:rsid w:val="00701C40"/>
    <w:rsid w:val="00701CFA"/>
    <w:rsid w:val="00710258"/>
    <w:rsid w:val="007113B0"/>
    <w:rsid w:val="00711C5B"/>
    <w:rsid w:val="007137BA"/>
    <w:rsid w:val="00713EF2"/>
    <w:rsid w:val="00721F91"/>
    <w:rsid w:val="00722885"/>
    <w:rsid w:val="00722BB3"/>
    <w:rsid w:val="007240AB"/>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75836"/>
    <w:rsid w:val="00781A1C"/>
    <w:rsid w:val="0078214E"/>
    <w:rsid w:val="00782C7F"/>
    <w:rsid w:val="00787456"/>
    <w:rsid w:val="0079168C"/>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7F3514"/>
    <w:rsid w:val="0080427D"/>
    <w:rsid w:val="00804A13"/>
    <w:rsid w:val="00810A55"/>
    <w:rsid w:val="008144B7"/>
    <w:rsid w:val="0081517D"/>
    <w:rsid w:val="00820B31"/>
    <w:rsid w:val="008218C4"/>
    <w:rsid w:val="0082530A"/>
    <w:rsid w:val="00826524"/>
    <w:rsid w:val="00830D9B"/>
    <w:rsid w:val="00833B85"/>
    <w:rsid w:val="0083578A"/>
    <w:rsid w:val="0083631C"/>
    <w:rsid w:val="0083742F"/>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B56"/>
    <w:rsid w:val="00881F59"/>
    <w:rsid w:val="00882D17"/>
    <w:rsid w:val="008837D4"/>
    <w:rsid w:val="008851F1"/>
    <w:rsid w:val="00890DC1"/>
    <w:rsid w:val="008919AE"/>
    <w:rsid w:val="00892253"/>
    <w:rsid w:val="008A21F4"/>
    <w:rsid w:val="008A2D6D"/>
    <w:rsid w:val="008A732A"/>
    <w:rsid w:val="008A7FC7"/>
    <w:rsid w:val="008B1C06"/>
    <w:rsid w:val="008B1E64"/>
    <w:rsid w:val="008B2F18"/>
    <w:rsid w:val="008B4BBC"/>
    <w:rsid w:val="008B5842"/>
    <w:rsid w:val="008B6E5D"/>
    <w:rsid w:val="008D15E6"/>
    <w:rsid w:val="008D3355"/>
    <w:rsid w:val="008D469A"/>
    <w:rsid w:val="008E1724"/>
    <w:rsid w:val="008E5E59"/>
    <w:rsid w:val="008E611C"/>
    <w:rsid w:val="008F25FF"/>
    <w:rsid w:val="008F453C"/>
    <w:rsid w:val="008F5655"/>
    <w:rsid w:val="009045DC"/>
    <w:rsid w:val="00905971"/>
    <w:rsid w:val="009076D2"/>
    <w:rsid w:val="00910EEA"/>
    <w:rsid w:val="009136CD"/>
    <w:rsid w:val="00921A2F"/>
    <w:rsid w:val="009228D2"/>
    <w:rsid w:val="00922FA6"/>
    <w:rsid w:val="00927F76"/>
    <w:rsid w:val="009313AC"/>
    <w:rsid w:val="00935AF0"/>
    <w:rsid w:val="0094425C"/>
    <w:rsid w:val="00944B33"/>
    <w:rsid w:val="00944FB5"/>
    <w:rsid w:val="00952A42"/>
    <w:rsid w:val="009532B0"/>
    <w:rsid w:val="00953F80"/>
    <w:rsid w:val="00955454"/>
    <w:rsid w:val="00956E6F"/>
    <w:rsid w:val="00957403"/>
    <w:rsid w:val="00960EFA"/>
    <w:rsid w:val="00961119"/>
    <w:rsid w:val="00962F80"/>
    <w:rsid w:val="00963055"/>
    <w:rsid w:val="00977E72"/>
    <w:rsid w:val="00980C6D"/>
    <w:rsid w:val="00983F61"/>
    <w:rsid w:val="00985226"/>
    <w:rsid w:val="00993976"/>
    <w:rsid w:val="0099555C"/>
    <w:rsid w:val="009A0DC1"/>
    <w:rsid w:val="009A3906"/>
    <w:rsid w:val="009A4681"/>
    <w:rsid w:val="009A7991"/>
    <w:rsid w:val="009B2696"/>
    <w:rsid w:val="009B5AFB"/>
    <w:rsid w:val="009B64B4"/>
    <w:rsid w:val="009C171D"/>
    <w:rsid w:val="009C300F"/>
    <w:rsid w:val="009C5CE4"/>
    <w:rsid w:val="009C701D"/>
    <w:rsid w:val="009D1DFD"/>
    <w:rsid w:val="009D3220"/>
    <w:rsid w:val="009D352C"/>
    <w:rsid w:val="009D671B"/>
    <w:rsid w:val="009D6806"/>
    <w:rsid w:val="009E27CC"/>
    <w:rsid w:val="009E28EA"/>
    <w:rsid w:val="009E412F"/>
    <w:rsid w:val="009E671F"/>
    <w:rsid w:val="009E7F55"/>
    <w:rsid w:val="009F0CB9"/>
    <w:rsid w:val="009F1F97"/>
    <w:rsid w:val="009F3316"/>
    <w:rsid w:val="009F6498"/>
    <w:rsid w:val="00A0400B"/>
    <w:rsid w:val="00A061E9"/>
    <w:rsid w:val="00A12646"/>
    <w:rsid w:val="00A14EB2"/>
    <w:rsid w:val="00A15428"/>
    <w:rsid w:val="00A15DD9"/>
    <w:rsid w:val="00A17396"/>
    <w:rsid w:val="00A2509B"/>
    <w:rsid w:val="00A31E4D"/>
    <w:rsid w:val="00A328A1"/>
    <w:rsid w:val="00A33A3C"/>
    <w:rsid w:val="00A35766"/>
    <w:rsid w:val="00A42C59"/>
    <w:rsid w:val="00A46CF9"/>
    <w:rsid w:val="00A47A6A"/>
    <w:rsid w:val="00A51EE1"/>
    <w:rsid w:val="00A52AF8"/>
    <w:rsid w:val="00A53ACA"/>
    <w:rsid w:val="00A55466"/>
    <w:rsid w:val="00A613CE"/>
    <w:rsid w:val="00A62AD7"/>
    <w:rsid w:val="00A64C09"/>
    <w:rsid w:val="00A66608"/>
    <w:rsid w:val="00A710D3"/>
    <w:rsid w:val="00A73F4A"/>
    <w:rsid w:val="00A763DA"/>
    <w:rsid w:val="00A77EA4"/>
    <w:rsid w:val="00A806EB"/>
    <w:rsid w:val="00A82A74"/>
    <w:rsid w:val="00A91FF9"/>
    <w:rsid w:val="00A93C0B"/>
    <w:rsid w:val="00A93C17"/>
    <w:rsid w:val="00A97454"/>
    <w:rsid w:val="00AA186A"/>
    <w:rsid w:val="00AA2596"/>
    <w:rsid w:val="00AA2C9C"/>
    <w:rsid w:val="00AA7A1E"/>
    <w:rsid w:val="00AB1407"/>
    <w:rsid w:val="00AB25F9"/>
    <w:rsid w:val="00AB27D6"/>
    <w:rsid w:val="00AB39C9"/>
    <w:rsid w:val="00AB3E31"/>
    <w:rsid w:val="00AB4FA1"/>
    <w:rsid w:val="00AB6ADE"/>
    <w:rsid w:val="00AC0683"/>
    <w:rsid w:val="00AC7430"/>
    <w:rsid w:val="00AC7FE7"/>
    <w:rsid w:val="00AD1376"/>
    <w:rsid w:val="00AD1EEE"/>
    <w:rsid w:val="00AD37EF"/>
    <w:rsid w:val="00AD3A38"/>
    <w:rsid w:val="00AD3F72"/>
    <w:rsid w:val="00AD62E4"/>
    <w:rsid w:val="00AE6218"/>
    <w:rsid w:val="00AF3B7D"/>
    <w:rsid w:val="00AF5A82"/>
    <w:rsid w:val="00AF61BE"/>
    <w:rsid w:val="00AF67C3"/>
    <w:rsid w:val="00B00DC9"/>
    <w:rsid w:val="00B00E4B"/>
    <w:rsid w:val="00B01E76"/>
    <w:rsid w:val="00B01EB7"/>
    <w:rsid w:val="00B0238E"/>
    <w:rsid w:val="00B05CBD"/>
    <w:rsid w:val="00B06BDD"/>
    <w:rsid w:val="00B073C8"/>
    <w:rsid w:val="00B0780E"/>
    <w:rsid w:val="00B10A6D"/>
    <w:rsid w:val="00B1420A"/>
    <w:rsid w:val="00B20910"/>
    <w:rsid w:val="00B22766"/>
    <w:rsid w:val="00B24E38"/>
    <w:rsid w:val="00B25B7F"/>
    <w:rsid w:val="00B2627E"/>
    <w:rsid w:val="00B2790D"/>
    <w:rsid w:val="00B3139F"/>
    <w:rsid w:val="00B322B8"/>
    <w:rsid w:val="00B32B64"/>
    <w:rsid w:val="00B45E57"/>
    <w:rsid w:val="00B53237"/>
    <w:rsid w:val="00B60B44"/>
    <w:rsid w:val="00B6238F"/>
    <w:rsid w:val="00B62A05"/>
    <w:rsid w:val="00B70697"/>
    <w:rsid w:val="00B7143D"/>
    <w:rsid w:val="00B71F8E"/>
    <w:rsid w:val="00B725D2"/>
    <w:rsid w:val="00B72C79"/>
    <w:rsid w:val="00B74583"/>
    <w:rsid w:val="00B74A38"/>
    <w:rsid w:val="00B805DA"/>
    <w:rsid w:val="00B91CE6"/>
    <w:rsid w:val="00B972F8"/>
    <w:rsid w:val="00BA3DCA"/>
    <w:rsid w:val="00BA46E0"/>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E750E"/>
    <w:rsid w:val="00BF3469"/>
    <w:rsid w:val="00BF3974"/>
    <w:rsid w:val="00BF764E"/>
    <w:rsid w:val="00C011C9"/>
    <w:rsid w:val="00C029BD"/>
    <w:rsid w:val="00C05AD1"/>
    <w:rsid w:val="00C060E6"/>
    <w:rsid w:val="00C0762D"/>
    <w:rsid w:val="00C10313"/>
    <w:rsid w:val="00C144D9"/>
    <w:rsid w:val="00C17D29"/>
    <w:rsid w:val="00C252F3"/>
    <w:rsid w:val="00C25873"/>
    <w:rsid w:val="00C25D65"/>
    <w:rsid w:val="00C26F8C"/>
    <w:rsid w:val="00C33BE8"/>
    <w:rsid w:val="00C353F1"/>
    <w:rsid w:val="00C368F0"/>
    <w:rsid w:val="00C37943"/>
    <w:rsid w:val="00C401B4"/>
    <w:rsid w:val="00C4126B"/>
    <w:rsid w:val="00C42D09"/>
    <w:rsid w:val="00C51BEB"/>
    <w:rsid w:val="00C54866"/>
    <w:rsid w:val="00C55C1F"/>
    <w:rsid w:val="00C60E6B"/>
    <w:rsid w:val="00C618D2"/>
    <w:rsid w:val="00C61DC5"/>
    <w:rsid w:val="00C659DC"/>
    <w:rsid w:val="00C679B3"/>
    <w:rsid w:val="00C67A92"/>
    <w:rsid w:val="00C7012B"/>
    <w:rsid w:val="00C70763"/>
    <w:rsid w:val="00C71292"/>
    <w:rsid w:val="00C7147B"/>
    <w:rsid w:val="00C80281"/>
    <w:rsid w:val="00C8225A"/>
    <w:rsid w:val="00C86453"/>
    <w:rsid w:val="00C871EA"/>
    <w:rsid w:val="00C903E0"/>
    <w:rsid w:val="00C93A88"/>
    <w:rsid w:val="00CA17A3"/>
    <w:rsid w:val="00CA51F3"/>
    <w:rsid w:val="00CA6C2B"/>
    <w:rsid w:val="00CC2B01"/>
    <w:rsid w:val="00CC42F4"/>
    <w:rsid w:val="00CC616A"/>
    <w:rsid w:val="00CD0CD8"/>
    <w:rsid w:val="00CD466B"/>
    <w:rsid w:val="00CD5A3D"/>
    <w:rsid w:val="00CE20C5"/>
    <w:rsid w:val="00CE2C50"/>
    <w:rsid w:val="00CE2E16"/>
    <w:rsid w:val="00CE3234"/>
    <w:rsid w:val="00CE3791"/>
    <w:rsid w:val="00CE4449"/>
    <w:rsid w:val="00CE53C5"/>
    <w:rsid w:val="00CF173E"/>
    <w:rsid w:val="00CF70CE"/>
    <w:rsid w:val="00D01D4F"/>
    <w:rsid w:val="00D01DA6"/>
    <w:rsid w:val="00D02621"/>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571BB"/>
    <w:rsid w:val="00D639B0"/>
    <w:rsid w:val="00D67C4C"/>
    <w:rsid w:val="00D70455"/>
    <w:rsid w:val="00D71E49"/>
    <w:rsid w:val="00D730C2"/>
    <w:rsid w:val="00D74DA4"/>
    <w:rsid w:val="00D756D6"/>
    <w:rsid w:val="00D75870"/>
    <w:rsid w:val="00D77750"/>
    <w:rsid w:val="00D80C72"/>
    <w:rsid w:val="00D84ED9"/>
    <w:rsid w:val="00D852F6"/>
    <w:rsid w:val="00D87434"/>
    <w:rsid w:val="00D90B34"/>
    <w:rsid w:val="00D90FA8"/>
    <w:rsid w:val="00D95AC4"/>
    <w:rsid w:val="00D95EEC"/>
    <w:rsid w:val="00D96807"/>
    <w:rsid w:val="00D9773C"/>
    <w:rsid w:val="00DB0DAF"/>
    <w:rsid w:val="00DB3577"/>
    <w:rsid w:val="00DB4986"/>
    <w:rsid w:val="00DB649F"/>
    <w:rsid w:val="00DB713E"/>
    <w:rsid w:val="00DC572F"/>
    <w:rsid w:val="00DC6060"/>
    <w:rsid w:val="00DC6F11"/>
    <w:rsid w:val="00DD0092"/>
    <w:rsid w:val="00DD1469"/>
    <w:rsid w:val="00DD2C2F"/>
    <w:rsid w:val="00DD34A2"/>
    <w:rsid w:val="00DE02A8"/>
    <w:rsid w:val="00DE44A3"/>
    <w:rsid w:val="00DE4918"/>
    <w:rsid w:val="00DE492D"/>
    <w:rsid w:val="00DE57BC"/>
    <w:rsid w:val="00DE7FDF"/>
    <w:rsid w:val="00DF2E60"/>
    <w:rsid w:val="00DF78A5"/>
    <w:rsid w:val="00E03559"/>
    <w:rsid w:val="00E05D0C"/>
    <w:rsid w:val="00E1237B"/>
    <w:rsid w:val="00E1241B"/>
    <w:rsid w:val="00E137F1"/>
    <w:rsid w:val="00E1594C"/>
    <w:rsid w:val="00E21B2A"/>
    <w:rsid w:val="00E21F9E"/>
    <w:rsid w:val="00E22A20"/>
    <w:rsid w:val="00E249AC"/>
    <w:rsid w:val="00E25AB0"/>
    <w:rsid w:val="00E337FD"/>
    <w:rsid w:val="00E33A26"/>
    <w:rsid w:val="00E347F1"/>
    <w:rsid w:val="00E34F7C"/>
    <w:rsid w:val="00E429BB"/>
    <w:rsid w:val="00E500D2"/>
    <w:rsid w:val="00E547B2"/>
    <w:rsid w:val="00E548EA"/>
    <w:rsid w:val="00E55929"/>
    <w:rsid w:val="00E57134"/>
    <w:rsid w:val="00E61305"/>
    <w:rsid w:val="00E64738"/>
    <w:rsid w:val="00E6610D"/>
    <w:rsid w:val="00E675A4"/>
    <w:rsid w:val="00E70D69"/>
    <w:rsid w:val="00E70DAD"/>
    <w:rsid w:val="00E72297"/>
    <w:rsid w:val="00E80774"/>
    <w:rsid w:val="00E816E1"/>
    <w:rsid w:val="00E81927"/>
    <w:rsid w:val="00E824B9"/>
    <w:rsid w:val="00E83708"/>
    <w:rsid w:val="00E85486"/>
    <w:rsid w:val="00E85BD1"/>
    <w:rsid w:val="00E9704C"/>
    <w:rsid w:val="00EA22C2"/>
    <w:rsid w:val="00EA636D"/>
    <w:rsid w:val="00EA6B8C"/>
    <w:rsid w:val="00EB140F"/>
    <w:rsid w:val="00EB2A79"/>
    <w:rsid w:val="00EC42B2"/>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CAF"/>
    <w:rsid w:val="00F07FA1"/>
    <w:rsid w:val="00F147C4"/>
    <w:rsid w:val="00F149E4"/>
    <w:rsid w:val="00F2116B"/>
    <w:rsid w:val="00F21533"/>
    <w:rsid w:val="00F247B2"/>
    <w:rsid w:val="00F264E3"/>
    <w:rsid w:val="00F269CD"/>
    <w:rsid w:val="00F27EB1"/>
    <w:rsid w:val="00F31B01"/>
    <w:rsid w:val="00F35136"/>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3FEA"/>
    <w:rsid w:val="00FB5884"/>
    <w:rsid w:val="00FB7EA8"/>
    <w:rsid w:val="00FC03B3"/>
    <w:rsid w:val="00FD5A7F"/>
    <w:rsid w:val="00FD6505"/>
    <w:rsid w:val="00FD6556"/>
    <w:rsid w:val="00FE1BE2"/>
    <w:rsid w:val="00FE330D"/>
    <w:rsid w:val="00FE59F9"/>
    <w:rsid w:val="00FE5EC5"/>
    <w:rsid w:val="00FF0EF5"/>
    <w:rsid w:val="00FF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837">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151286242">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0450457">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564608740">
      <w:bodyDiv w:val="1"/>
      <w:marLeft w:val="0"/>
      <w:marRight w:val="0"/>
      <w:marTop w:val="0"/>
      <w:marBottom w:val="0"/>
      <w:divBdr>
        <w:top w:val="none" w:sz="0" w:space="0" w:color="auto"/>
        <w:left w:val="none" w:sz="0" w:space="0" w:color="auto"/>
        <w:bottom w:val="none" w:sz="0" w:space="0" w:color="auto"/>
        <w:right w:val="none" w:sz="0" w:space="0" w:color="auto"/>
      </w:divBdr>
    </w:div>
    <w:div w:id="1578706181">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07828501">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165994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88251251">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Benjamine Mekinde Tonga</cp:lastModifiedBy>
  <cp:revision>2</cp:revision>
  <dcterms:created xsi:type="dcterms:W3CDTF">2025-11-11T15:11:00Z</dcterms:created>
  <dcterms:modified xsi:type="dcterms:W3CDTF">2025-11-11T15:11:00Z</dcterms:modified>
</cp:coreProperties>
</file>