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00D73E61"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24559819"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130B1328"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BE2CCD">
        <w:rPr>
          <w:rFonts w:eastAsia="Times New Roman" w:cs="Times New Roman"/>
          <w:b/>
          <w:kern w:val="0"/>
          <w:sz w:val="24"/>
          <w:szCs w:val="24"/>
          <w14:ligatures w14:val="none"/>
        </w:rPr>
        <w:t>1</w:t>
      </w:r>
      <w:r w:rsidR="002F25C1">
        <w:rPr>
          <w:rFonts w:eastAsia="Times New Roman" w:cs="Times New Roman"/>
          <w:b/>
          <w:kern w:val="0"/>
          <w:sz w:val="24"/>
          <w:szCs w:val="24"/>
          <w14:ligatures w14:val="none"/>
        </w:rPr>
        <w:t>3</w:t>
      </w:r>
      <w:r w:rsidRPr="009537B2">
        <w:rPr>
          <w:rFonts w:eastAsia="Times New Roman" w:cs="Times New Roman"/>
          <w:b/>
          <w:kern w:val="0"/>
          <w:sz w:val="24"/>
          <w:szCs w:val="24"/>
          <w14:ligatures w14:val="none"/>
        </w:rPr>
        <w:t>/</w:t>
      </w:r>
      <w:r w:rsidR="00D15EF9">
        <w:rPr>
          <w:rFonts w:eastAsia="Times New Roman" w:cs="Times New Roman"/>
          <w:b/>
          <w:kern w:val="0"/>
          <w:sz w:val="24"/>
          <w:szCs w:val="24"/>
          <w14:ligatures w14:val="none"/>
        </w:rPr>
        <w:t>1</w:t>
      </w:r>
      <w:r w:rsidR="001C7571">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/2025</w:t>
      </w:r>
    </w:p>
    <w:p w14:paraId="2DC6DBD6" w14:textId="10AFBC44" w:rsidR="006303C5" w:rsidRDefault="00310619" w:rsidP="006303C5">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75F19023" w14:textId="77777777" w:rsidR="006303C5" w:rsidRPr="006303C5" w:rsidRDefault="006303C5" w:rsidP="006303C5">
      <w:pPr>
        <w:spacing w:after="0" w:line="240" w:lineRule="auto"/>
        <w:jc w:val="both"/>
        <w:rPr>
          <w:rFonts w:eastAsia="Palatino Linotype" w:cs="Times New Roman"/>
          <w:b/>
          <w:kern w:val="0"/>
          <w:sz w:val="24"/>
          <w:szCs w:val="24"/>
          <w14:ligatures w14:val="none"/>
        </w:rPr>
      </w:pPr>
    </w:p>
    <w:p w14:paraId="1CC9A25E" w14:textId="77777777" w:rsidR="001D4062" w:rsidRPr="001D4062" w:rsidRDefault="001D4062" w:rsidP="001D4062">
      <w:pPr>
        <w:ind w:left="360"/>
        <w:jc w:val="both"/>
        <w:rPr>
          <w:rFonts w:asciiTheme="majorBidi" w:hAnsiTheme="majorBidi" w:cstheme="majorBidi"/>
          <w:b/>
          <w:bCs/>
        </w:rPr>
      </w:pPr>
    </w:p>
    <w:p w14:paraId="1EE49449" w14:textId="77777777" w:rsidR="008B6429" w:rsidRDefault="001D4062" w:rsidP="008B6429">
      <w:pPr>
        <w:pStyle w:val="ListParagraph"/>
        <w:numPr>
          <w:ilvl w:val="0"/>
          <w:numId w:val="20"/>
        </w:numPr>
        <w:spacing w:line="256" w:lineRule="auto"/>
        <w:jc w:val="both"/>
        <w:rPr>
          <w:b/>
          <w:bCs/>
          <w:i/>
          <w:iCs/>
        </w:rPr>
      </w:pPr>
      <w:r w:rsidRPr="001D4062">
        <w:rPr>
          <w:b/>
          <w:bCs/>
          <w:i/>
          <w:iCs/>
        </w:rPr>
        <w:t>HRD participated in an Integrated Short Distance Patrol (ISDP) to Nyin-Akok Payam of Jur River County, and gathered information on the area’s security, humanitarian, and human rights situations</w:t>
      </w:r>
      <w:r>
        <w:rPr>
          <w:b/>
          <w:bCs/>
          <w:i/>
          <w:iCs/>
        </w:rPr>
        <w:t>.</w:t>
      </w:r>
    </w:p>
    <w:p w14:paraId="67C8047E" w14:textId="77777777" w:rsidR="008B6429" w:rsidRDefault="008B6429" w:rsidP="008B6429">
      <w:pPr>
        <w:pStyle w:val="ListParagraph"/>
        <w:spacing w:line="256" w:lineRule="auto"/>
        <w:ind w:left="360"/>
        <w:jc w:val="both"/>
        <w:rPr>
          <w:b/>
          <w:bCs/>
          <w:i/>
          <w:iCs/>
        </w:rPr>
      </w:pPr>
    </w:p>
    <w:p w14:paraId="5616C7D9" w14:textId="78BA51E4" w:rsidR="008B6429" w:rsidRPr="008B6429" w:rsidRDefault="008B6429" w:rsidP="008B6429">
      <w:pPr>
        <w:pStyle w:val="ListParagraph"/>
        <w:numPr>
          <w:ilvl w:val="0"/>
          <w:numId w:val="20"/>
        </w:numPr>
        <w:spacing w:line="256" w:lineRule="auto"/>
        <w:jc w:val="both"/>
        <w:rPr>
          <w:b/>
          <w:bCs/>
          <w:i/>
          <w:iCs/>
        </w:rPr>
      </w:pPr>
      <w:r w:rsidRPr="008B6429">
        <w:rPr>
          <w:b/>
          <w:bCs/>
          <w:i/>
          <w:iCs/>
        </w:rPr>
        <w:t>A South Sudan National Police officer attacked and killed a 37-year-old male civilian from the Jur-Chad community in Nazareth, a residential area, Wau municipality, Wau town, Wau County.</w:t>
      </w:r>
    </w:p>
    <w:p w14:paraId="593D393C" w14:textId="77777777" w:rsidR="001D4062" w:rsidRPr="008B6429" w:rsidRDefault="001D4062" w:rsidP="008B6429">
      <w:pPr>
        <w:spacing w:after="0" w:line="240" w:lineRule="auto"/>
        <w:jc w:val="both"/>
        <w:rPr>
          <w:rFonts w:asciiTheme="majorBidi" w:eastAsia="Calibri" w:hAnsiTheme="majorBidi" w:cstheme="majorBidi"/>
          <w:b/>
          <w:i/>
          <w:iCs/>
        </w:rPr>
      </w:pPr>
    </w:p>
    <w:p w14:paraId="576371EB" w14:textId="771B88C8" w:rsidR="001B4593" w:rsidRPr="001B4593" w:rsidRDefault="006303C5" w:rsidP="001B4593">
      <w:pPr>
        <w:pStyle w:val="ListParagraph"/>
        <w:numPr>
          <w:ilvl w:val="0"/>
          <w:numId w:val="20"/>
        </w:numPr>
        <w:spacing w:after="0" w:line="240" w:lineRule="auto"/>
        <w:jc w:val="both"/>
        <w:rPr>
          <w:rFonts w:asciiTheme="majorBidi" w:eastAsia="Calibri" w:hAnsiTheme="majorBidi" w:cstheme="majorBidi"/>
          <w:b/>
          <w:i/>
          <w:iCs/>
        </w:rPr>
      </w:pPr>
      <w:r w:rsidRPr="006303C5">
        <w:rPr>
          <w:rFonts w:asciiTheme="majorBidi" w:hAnsiTheme="majorBidi" w:cstheme="majorBidi"/>
          <w:b/>
          <w:i/>
          <w:iCs/>
        </w:rPr>
        <w:t xml:space="preserve">Follow-up: An element of the South Sudan Defense Force (SSPDF) raped a 14-year-old female in Hai Daraja residential area of Wau town (Ref-WFO-DSR-20251105). </w:t>
      </w:r>
    </w:p>
    <w:p w14:paraId="77CB37C1" w14:textId="77777777" w:rsidR="001B4593" w:rsidRPr="001B4593" w:rsidRDefault="001B4593" w:rsidP="001B4593">
      <w:pPr>
        <w:pStyle w:val="ListParagraph"/>
        <w:rPr>
          <w:rFonts w:asciiTheme="majorBidi" w:eastAsia="Calibri" w:hAnsiTheme="majorBidi" w:cstheme="majorBidi"/>
          <w:b/>
          <w:i/>
          <w:iCs/>
        </w:rPr>
      </w:pPr>
    </w:p>
    <w:p w14:paraId="28F91C9B" w14:textId="77777777" w:rsidR="001B4593" w:rsidRPr="001B4593" w:rsidRDefault="001B4593" w:rsidP="001B4593">
      <w:pPr>
        <w:pStyle w:val="ListParagraph"/>
        <w:spacing w:after="0" w:line="240" w:lineRule="auto"/>
        <w:ind w:left="360"/>
        <w:jc w:val="both"/>
        <w:rPr>
          <w:rFonts w:asciiTheme="majorBidi" w:eastAsia="Calibri" w:hAnsiTheme="majorBidi" w:cstheme="majorBidi"/>
          <w:b/>
          <w:i/>
          <w:iCs/>
        </w:rPr>
      </w:pPr>
    </w:p>
    <w:p w14:paraId="76560198" w14:textId="7B769314" w:rsidR="001B4593" w:rsidRPr="001B4593" w:rsidRDefault="001B4593" w:rsidP="001B4593">
      <w:pPr>
        <w:numPr>
          <w:ilvl w:val="0"/>
          <w:numId w:val="20"/>
        </w:numPr>
        <w:spacing w:line="278" w:lineRule="auto"/>
        <w:jc w:val="both"/>
        <w:rPr>
          <w:rFonts w:eastAsia="Noto Sans" w:cs="Times New Roman"/>
          <w:bCs/>
          <w:i/>
          <w:iCs/>
        </w:rPr>
      </w:pPr>
      <w:r w:rsidRPr="003708E5">
        <w:rPr>
          <w:rFonts w:eastAsia="Noto Sans" w:cs="Times New Roman"/>
          <w:b/>
          <w:bCs/>
          <w:i/>
          <w:iCs/>
        </w:rPr>
        <w:t xml:space="preserve">HRD participated in the WBGS Monthly Rule of Law Forum at the </w:t>
      </w:r>
      <w:r>
        <w:rPr>
          <w:rFonts w:eastAsia="Noto Sans" w:cs="Times New Roman"/>
          <w:b/>
          <w:bCs/>
          <w:i/>
          <w:iCs/>
        </w:rPr>
        <w:t>UNDP Office</w:t>
      </w:r>
      <w:r w:rsidRPr="003708E5">
        <w:rPr>
          <w:rFonts w:eastAsia="Noto Sans" w:cs="Times New Roman"/>
          <w:b/>
          <w:bCs/>
          <w:i/>
          <w:iCs/>
        </w:rPr>
        <w:t xml:space="preserve"> in Wau </w:t>
      </w:r>
      <w:r>
        <w:rPr>
          <w:rFonts w:eastAsia="Noto Sans" w:cs="Times New Roman"/>
          <w:b/>
          <w:bCs/>
          <w:i/>
          <w:iCs/>
        </w:rPr>
        <w:t xml:space="preserve">town. </w:t>
      </w:r>
    </w:p>
    <w:p w14:paraId="6812A167" w14:textId="77777777" w:rsidR="006303C5" w:rsidRDefault="006303C5" w:rsidP="00F5787F">
      <w:pPr>
        <w:spacing w:after="0" w:line="240" w:lineRule="auto"/>
        <w:jc w:val="both"/>
        <w:rPr>
          <w:rFonts w:eastAsia="Palatino Linotype" w:cs="Times New Roman"/>
          <w:b/>
          <w:kern w:val="0"/>
          <w:sz w:val="24"/>
          <w:szCs w:val="24"/>
          <w14:ligatures w14:val="none"/>
        </w:rPr>
      </w:pPr>
    </w:p>
    <w:p w14:paraId="6B49B52A" w14:textId="4D4A81B1" w:rsidR="00310619" w:rsidRPr="00990F01" w:rsidRDefault="00310619" w:rsidP="004A53EB">
      <w:pPr>
        <w:spacing w:after="0" w:line="240" w:lineRule="auto"/>
        <w:jc w:val="both"/>
        <w:rPr>
          <w:rFonts w:eastAsia="Calibri" w:cs="Times New Roman"/>
          <w:b/>
          <w:bCs/>
          <w:i/>
          <w:iCs/>
        </w:rPr>
      </w:pPr>
    </w:p>
    <w:bookmarkEnd w:id="0"/>
    <w:p w14:paraId="1E503D6C" w14:textId="30E50AEA" w:rsidR="001D4062" w:rsidRDefault="00310619" w:rsidP="001D4062">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7BF5295" w14:textId="77777777" w:rsidR="001D4062" w:rsidRPr="001D4062" w:rsidRDefault="001D4062" w:rsidP="001D4062">
      <w:pPr>
        <w:ind w:left="360"/>
        <w:jc w:val="both"/>
        <w:rPr>
          <w:rFonts w:asciiTheme="majorBidi" w:hAnsiTheme="majorBidi" w:cstheme="majorBidi"/>
          <w:b/>
          <w:bCs/>
        </w:rPr>
      </w:pPr>
    </w:p>
    <w:p w14:paraId="74D6831A" w14:textId="63CDA7EA" w:rsidR="001D4062" w:rsidRPr="001D4062" w:rsidRDefault="001D4062" w:rsidP="001D4062">
      <w:pPr>
        <w:pStyle w:val="ListParagraph"/>
        <w:numPr>
          <w:ilvl w:val="0"/>
          <w:numId w:val="20"/>
        </w:numPr>
        <w:spacing w:line="256" w:lineRule="auto"/>
        <w:jc w:val="both"/>
        <w:rPr>
          <w:b/>
          <w:bCs/>
          <w:i/>
          <w:iCs/>
        </w:rPr>
      </w:pPr>
      <w:r w:rsidRPr="001D4062">
        <w:rPr>
          <w:b/>
          <w:bCs/>
          <w:i/>
          <w:iCs/>
        </w:rPr>
        <w:t>HRD participated in an Integrated Short Distance Patrol (ISDP) to Nyin-Akok Payam of Jur River County, and gathered information on the area’s security, humanitarian, and human rights situations</w:t>
      </w:r>
      <w:r>
        <w:rPr>
          <w:b/>
          <w:bCs/>
          <w:i/>
          <w:iCs/>
        </w:rPr>
        <w:t>.</w:t>
      </w:r>
    </w:p>
    <w:p w14:paraId="4BAF8F5D" w14:textId="071E5A72" w:rsidR="001D4062" w:rsidRPr="002D65C1" w:rsidRDefault="001D4062" w:rsidP="001D4062">
      <w:pPr>
        <w:spacing w:line="256" w:lineRule="auto"/>
        <w:jc w:val="both"/>
        <w:rPr>
          <w:rFonts w:eastAsia="Aptos" w:cs="Arial"/>
        </w:rPr>
      </w:pPr>
      <w:r w:rsidRPr="002D65C1">
        <w:rPr>
          <w:rFonts w:eastAsia="Aptos" w:cs="Arial"/>
        </w:rPr>
        <w:t xml:space="preserve">On 13 November 2025, HRD </w:t>
      </w:r>
      <w:r>
        <w:rPr>
          <w:rFonts w:eastAsia="Aptos" w:cs="Arial"/>
        </w:rPr>
        <w:t xml:space="preserve">participated in an ISDP </w:t>
      </w:r>
      <w:r w:rsidRPr="002D65C1">
        <w:rPr>
          <w:rFonts w:eastAsia="Aptos" w:cs="Arial"/>
        </w:rPr>
        <w:t xml:space="preserve">to Nyin-Akok Payam, </w:t>
      </w:r>
      <w:r>
        <w:rPr>
          <w:rFonts w:eastAsia="Aptos" w:cs="Arial"/>
        </w:rPr>
        <w:t xml:space="preserve">Jur River County, </w:t>
      </w:r>
      <w:r w:rsidRPr="002D65C1">
        <w:rPr>
          <w:rFonts w:eastAsia="Aptos" w:cs="Arial"/>
        </w:rPr>
        <w:t>located 40 km east of Wau town</w:t>
      </w:r>
      <w:r>
        <w:rPr>
          <w:rFonts w:eastAsia="Aptos" w:cs="Arial"/>
        </w:rPr>
        <w:t xml:space="preserve">, aimed to </w:t>
      </w:r>
      <w:r w:rsidRPr="002D65C1">
        <w:rPr>
          <w:rFonts w:eastAsia="Aptos" w:cs="Arial"/>
        </w:rPr>
        <w:t>assess the security, humanitarian, and human rights situation</w:t>
      </w:r>
      <w:r>
        <w:rPr>
          <w:rFonts w:eastAsia="Aptos" w:cs="Arial"/>
        </w:rPr>
        <w:t>s in the area</w:t>
      </w:r>
      <w:r w:rsidRPr="002D65C1">
        <w:rPr>
          <w:rFonts w:eastAsia="Aptos" w:cs="Arial"/>
        </w:rPr>
        <w:t>. Th</w:t>
      </w:r>
      <w:r>
        <w:rPr>
          <w:rFonts w:eastAsia="Aptos" w:cs="Arial"/>
        </w:rPr>
        <w:t xml:space="preserve">e patrol </w:t>
      </w:r>
      <w:r w:rsidR="004E4742">
        <w:rPr>
          <w:rFonts w:eastAsia="Aptos" w:cs="Arial"/>
        </w:rPr>
        <w:t>consisted of representatives from HRD, CAD, CPU, PTR, UNMO, UNPOL, and the BANBATT force protection unit</w:t>
      </w:r>
      <w:r w:rsidRPr="002D65C1">
        <w:rPr>
          <w:rFonts w:eastAsia="Aptos" w:cs="Arial"/>
        </w:rPr>
        <w:t>.</w:t>
      </w:r>
    </w:p>
    <w:p w14:paraId="291BB6DB" w14:textId="46600BC4" w:rsidR="001D4062" w:rsidRPr="002D65C1" w:rsidRDefault="001D4062" w:rsidP="001D4062">
      <w:pPr>
        <w:spacing w:line="256" w:lineRule="auto"/>
        <w:jc w:val="both"/>
        <w:rPr>
          <w:rFonts w:eastAsia="Aptos" w:cs="Arial"/>
        </w:rPr>
      </w:pPr>
      <w:r>
        <w:rPr>
          <w:rFonts w:eastAsia="Aptos" w:cs="Arial"/>
        </w:rPr>
        <w:t>The patrol team held a general meeting with local authorities</w:t>
      </w:r>
      <w:r w:rsidR="004E4742">
        <w:rPr>
          <w:rFonts w:eastAsia="Aptos" w:cs="Arial"/>
        </w:rPr>
        <w:t>,</w:t>
      </w:r>
      <w:r>
        <w:rPr>
          <w:rFonts w:eastAsia="Aptos" w:cs="Arial"/>
        </w:rPr>
        <w:t xml:space="preserve"> including the SSPDF area Commander, the police, and youth leaders. </w:t>
      </w:r>
      <w:r w:rsidRPr="002D65C1">
        <w:rPr>
          <w:rFonts w:eastAsia="Aptos" w:cs="Arial"/>
        </w:rPr>
        <w:t>The</w:t>
      </w:r>
      <w:r>
        <w:rPr>
          <w:rFonts w:eastAsia="Aptos" w:cs="Arial"/>
        </w:rPr>
        <w:t xml:space="preserve"> authorities assessed the security </w:t>
      </w:r>
      <w:r w:rsidRPr="002D65C1">
        <w:rPr>
          <w:rFonts w:eastAsia="Aptos" w:cs="Arial"/>
        </w:rPr>
        <w:t xml:space="preserve">situation in the Payam </w:t>
      </w:r>
      <w:r>
        <w:rPr>
          <w:rFonts w:eastAsia="Aptos" w:cs="Arial"/>
        </w:rPr>
        <w:t>as</w:t>
      </w:r>
      <w:r w:rsidRPr="002D65C1">
        <w:rPr>
          <w:rFonts w:eastAsia="Aptos" w:cs="Arial"/>
        </w:rPr>
        <w:t xml:space="preserve"> calm and stable, despite the ongoing political turmoil in the country. However, it is </w:t>
      </w:r>
      <w:r w:rsidR="004E4742">
        <w:rPr>
          <w:rFonts w:eastAsia="Aptos" w:cs="Arial"/>
        </w:rPr>
        <w:t>essential</w:t>
      </w:r>
      <w:r w:rsidRPr="002D65C1">
        <w:rPr>
          <w:rFonts w:eastAsia="Aptos" w:cs="Arial"/>
        </w:rPr>
        <w:t xml:space="preserve"> to note that residents refrain from expressing their views, as they are not obligated to discuss political matters.</w:t>
      </w:r>
    </w:p>
    <w:p w14:paraId="2742C1C2" w14:textId="03838D5E" w:rsidR="001D4062" w:rsidRPr="002D65C1" w:rsidRDefault="001D4062" w:rsidP="001D4062">
      <w:pPr>
        <w:spacing w:line="256" w:lineRule="auto"/>
        <w:jc w:val="both"/>
        <w:rPr>
          <w:rFonts w:eastAsia="Aptos" w:cs="Arial"/>
        </w:rPr>
      </w:pPr>
      <w:r w:rsidRPr="002D65C1">
        <w:rPr>
          <w:rFonts w:eastAsia="Aptos" w:cs="Arial"/>
        </w:rPr>
        <w:lastRenderedPageBreak/>
        <w:t xml:space="preserve">Civilians affected </w:t>
      </w:r>
      <w:r>
        <w:rPr>
          <w:rFonts w:eastAsia="Aptos" w:cs="Arial"/>
        </w:rPr>
        <w:t xml:space="preserve">by the border conflict in Manyang have returned to their villages in Manyang. However, there are some IDPs whose </w:t>
      </w:r>
      <w:r w:rsidR="004E4742">
        <w:rPr>
          <w:rFonts w:eastAsia="Aptos" w:cs="Arial"/>
        </w:rPr>
        <w:t>homes were destroyed during the conflict who</w:t>
      </w:r>
      <w:r>
        <w:rPr>
          <w:rFonts w:eastAsia="Aptos" w:cs="Arial"/>
        </w:rPr>
        <w:t xml:space="preserve"> are still in Nyina </w:t>
      </w:r>
      <w:proofErr w:type="spellStart"/>
      <w:r>
        <w:rPr>
          <w:rFonts w:eastAsia="Aptos" w:cs="Arial"/>
        </w:rPr>
        <w:t>Akok</w:t>
      </w:r>
      <w:proofErr w:type="spellEnd"/>
      <w:r>
        <w:rPr>
          <w:rFonts w:eastAsia="Aptos" w:cs="Arial"/>
        </w:rPr>
        <w:t xml:space="preserve">. </w:t>
      </w:r>
      <w:r w:rsidRPr="002D65C1">
        <w:rPr>
          <w:rFonts w:eastAsia="Aptos" w:cs="Arial"/>
        </w:rPr>
        <w:t xml:space="preserve">These individuals are now sheltering with relatives and have not been able to restart their farming activities. The primary health care facility is critically lacking in medicines, as no humanitarian NGOs are currently operating in the area. Additionally, only one primary school remains operational, and </w:t>
      </w:r>
      <w:r w:rsidR="004E4742">
        <w:rPr>
          <w:rFonts w:eastAsia="Aptos" w:cs="Arial"/>
        </w:rPr>
        <w:t>strong winds have severely damaged its roof</w:t>
      </w:r>
      <w:r w:rsidRPr="002D65C1">
        <w:rPr>
          <w:rFonts w:eastAsia="Aptos" w:cs="Arial"/>
        </w:rPr>
        <w:t>.</w:t>
      </w:r>
    </w:p>
    <w:p w14:paraId="470FECEB" w14:textId="42C52E88" w:rsidR="001D4062" w:rsidRPr="002D65C1" w:rsidRDefault="001D4062" w:rsidP="001D4062">
      <w:pPr>
        <w:spacing w:line="256" w:lineRule="auto"/>
        <w:jc w:val="both"/>
        <w:rPr>
          <w:rFonts w:eastAsia="Aptos" w:cs="Arial"/>
        </w:rPr>
      </w:pPr>
      <w:r w:rsidRPr="002D65C1">
        <w:rPr>
          <w:rFonts w:eastAsia="Aptos" w:cs="Arial"/>
        </w:rPr>
        <w:t xml:space="preserve">At the police station, the human rights division identified significant deficiencies in the management and record-keeping systems. HRD demanded information regarding the numerous cases reported during the Manyang conflict between Warrap State and Western Bahr el Ghazal State, which resulted in civilian displacements, fatalities, and property destruction. Alarmingly, no cases have been documented at the police station, despite </w:t>
      </w:r>
      <w:r w:rsidR="004E4742">
        <w:rPr>
          <w:rFonts w:eastAsia="Aptos" w:cs="Arial"/>
        </w:rPr>
        <w:t>its presence</w:t>
      </w:r>
      <w:r w:rsidRPr="002D65C1">
        <w:rPr>
          <w:rFonts w:eastAsia="Aptos" w:cs="Arial"/>
        </w:rPr>
        <w:t xml:space="preserve"> in the area.</w:t>
      </w:r>
    </w:p>
    <w:p w14:paraId="4900CB1D" w14:textId="77777777" w:rsidR="001D4062" w:rsidRPr="002D65C1" w:rsidRDefault="001D4062" w:rsidP="001D4062">
      <w:pPr>
        <w:spacing w:line="256" w:lineRule="auto"/>
        <w:jc w:val="both"/>
        <w:rPr>
          <w:rFonts w:eastAsia="Aptos" w:cs="Arial"/>
        </w:rPr>
      </w:pPr>
      <w:r w:rsidRPr="002D65C1">
        <w:rPr>
          <w:rFonts w:eastAsia="Aptos" w:cs="Arial"/>
        </w:rPr>
        <w:t xml:space="preserve">Currently, there are only 65 police officers deployed in Nyin-Akok Payam. HRD asserts that these police officers require urgent capacity-building in crime management and investigation practices. Additionally, there is an immediate need for essential supplies, including stationery, as two record forms (8 and 6) are reported as lacking. Notably, one suspect is in custody for an elopement case, which will be appropriately referred </w:t>
      </w:r>
      <w:proofErr w:type="gramStart"/>
      <w:r w:rsidRPr="002D65C1">
        <w:rPr>
          <w:rFonts w:eastAsia="Aptos" w:cs="Arial"/>
        </w:rPr>
        <w:t>to</w:t>
      </w:r>
      <w:proofErr w:type="gramEnd"/>
      <w:r w:rsidRPr="002D65C1">
        <w:rPr>
          <w:rFonts w:eastAsia="Aptos" w:cs="Arial"/>
        </w:rPr>
        <w:t xml:space="preserve"> the customary court for trial.</w:t>
      </w:r>
    </w:p>
    <w:p w14:paraId="3E7CE5E9" w14:textId="35F70EF8" w:rsidR="001D4062" w:rsidRDefault="001D4062" w:rsidP="001D4062">
      <w:pPr>
        <w:spacing w:line="256" w:lineRule="auto"/>
        <w:jc w:val="both"/>
        <w:rPr>
          <w:rFonts w:eastAsia="Aptos" w:cs="Arial"/>
        </w:rPr>
      </w:pPr>
      <w:r w:rsidRPr="002D65C1">
        <w:rPr>
          <w:rFonts w:eastAsia="Aptos" w:cs="Arial"/>
        </w:rPr>
        <w:t xml:space="preserve">In conclusion, while the security situation in Nyin-Akok Payam is generally stable, significant challenges such as </w:t>
      </w:r>
      <w:r w:rsidR="004E4742">
        <w:rPr>
          <w:rFonts w:eastAsia="Aptos" w:cs="Arial"/>
        </w:rPr>
        <w:t xml:space="preserve">a lack of drugs at the health center and unresolved border disputes with Warrap </w:t>
      </w:r>
      <w:r>
        <w:rPr>
          <w:rFonts w:eastAsia="Aptos" w:cs="Arial"/>
        </w:rPr>
        <w:t xml:space="preserve">should be addressed. </w:t>
      </w:r>
      <w:r w:rsidRPr="002D65C1">
        <w:rPr>
          <w:rFonts w:eastAsia="Aptos" w:cs="Arial"/>
        </w:rPr>
        <w:t xml:space="preserve"> </w:t>
      </w:r>
    </w:p>
    <w:p w14:paraId="588CF555" w14:textId="77777777" w:rsidR="001D4062" w:rsidRPr="002C427E" w:rsidRDefault="001D4062" w:rsidP="001D4062">
      <w:pPr>
        <w:spacing w:line="256" w:lineRule="auto"/>
        <w:jc w:val="both"/>
        <w:rPr>
          <w:b/>
          <w:bCs/>
          <w:i/>
          <w:iCs/>
        </w:rPr>
      </w:pPr>
      <w:r w:rsidRPr="002C427E">
        <w:rPr>
          <w:rFonts w:eastAsia="Aptos" w:cs="Arial"/>
          <w:b/>
          <w:bCs/>
          <w:i/>
          <w:iCs/>
        </w:rPr>
        <w:t xml:space="preserve">Comments: </w:t>
      </w:r>
      <w:r w:rsidRPr="002C427E">
        <w:rPr>
          <w:rFonts w:eastAsia="Aptos" w:cs="Arial"/>
          <w:i/>
          <w:iCs/>
        </w:rPr>
        <w:t xml:space="preserve">HRD will continue to monitor the area. </w:t>
      </w:r>
    </w:p>
    <w:p w14:paraId="48CDCA35" w14:textId="77777777" w:rsidR="001D4062" w:rsidRPr="001D4062" w:rsidRDefault="001D4062" w:rsidP="001D4062">
      <w:pPr>
        <w:jc w:val="both"/>
        <w:rPr>
          <w:rFonts w:asciiTheme="majorBidi" w:hAnsiTheme="majorBidi" w:cstheme="majorBidi"/>
          <w:b/>
          <w:bCs/>
        </w:rPr>
      </w:pP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3AE345CA" w14:textId="286BADA4" w:rsidR="00BE2CCD" w:rsidRDefault="00310619" w:rsidP="00BE2CCD">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23DA1BAA" w14:textId="77777777" w:rsidR="008B6429" w:rsidRDefault="008B6429" w:rsidP="008B6429">
      <w:pPr>
        <w:pStyle w:val="ListParagraph"/>
        <w:rPr>
          <w:rFonts w:eastAsia="Palatino Linotype" w:cs="Times New Roman"/>
          <w:b/>
          <w:kern w:val="0"/>
          <w:sz w:val="24"/>
          <w:szCs w:val="24"/>
          <w14:ligatures w14:val="none"/>
        </w:rPr>
      </w:pPr>
    </w:p>
    <w:p w14:paraId="01640C0D" w14:textId="77777777" w:rsidR="008B6429" w:rsidRPr="00904702" w:rsidRDefault="008B6429" w:rsidP="008B6429">
      <w:pPr>
        <w:pStyle w:val="ListParagraph"/>
        <w:numPr>
          <w:ilvl w:val="0"/>
          <w:numId w:val="23"/>
        </w:numPr>
        <w:rPr>
          <w:b/>
          <w:bCs/>
          <w:i/>
          <w:iCs/>
        </w:rPr>
      </w:pPr>
      <w:r w:rsidRPr="00904702">
        <w:rPr>
          <w:b/>
          <w:bCs/>
          <w:i/>
          <w:iCs/>
        </w:rPr>
        <w:t>A South Sudan National Police officer attacked and killed a 37-year-old male civilian from the Jur-Chad community in Nazareth, a residential area, Wau municipality, Wau town, Wau County.</w:t>
      </w:r>
    </w:p>
    <w:p w14:paraId="766665DC" w14:textId="300F7DD6" w:rsidR="00D93742" w:rsidRDefault="00D93742" w:rsidP="00D93742">
      <w:pPr>
        <w:jc w:val="both"/>
      </w:pPr>
      <w:r>
        <w:t xml:space="preserve">On 12 November 2025, the Human Rights Division (HRD) gathered information from multiple sources concerning an incident that occurred on 12 March 2025, involving the alleged assault and subsequent death of a 37‑year‑old man identified as Jur‑Chad. The </w:t>
      </w:r>
      <w:r>
        <w:t>suspected</w:t>
      </w:r>
      <w:r>
        <w:t xml:space="preserve"> perpetrator, a 35‑year‑old man of Dinka ethnicity and a police sergeant attached to the Professional Standards Unit (PSU), was accused of committing the assault. (Names of individuals are on file.)</w:t>
      </w:r>
      <w:r>
        <w:t>.</w:t>
      </w:r>
    </w:p>
    <w:p w14:paraId="07FE3C0D" w14:textId="33B4135F" w:rsidR="00D93742" w:rsidRDefault="00D93742" w:rsidP="00D93742">
      <w:pPr>
        <w:jc w:val="both"/>
      </w:pPr>
      <w:r>
        <w:t xml:space="preserve"> HRD </w:t>
      </w:r>
      <w:r>
        <w:t>interviewed</w:t>
      </w:r>
      <w:r>
        <w:t xml:space="preserve"> the victim’s 49‑year‑old sister, who is also the complainant in the case. She recounted that her late brother had been working as a local bricklayer at a construction site near the Eastern Bank in Wau.</w:t>
      </w:r>
    </w:p>
    <w:p w14:paraId="58196A07" w14:textId="6DF85E4F" w:rsidR="00D93742" w:rsidRDefault="00D93742" w:rsidP="00D93742">
      <w:pPr>
        <w:jc w:val="both"/>
      </w:pPr>
      <w:r>
        <w:t xml:space="preserve">According to the complainant, on 12 March 2025, the victim went to a local alcohol outlet, where he met the suspect. While drinking traditional alcohol, the suspect allegedly demanded repayment of a 1,000 SSP debt owed by the victim. When the victim stated that he was unable to repay the amount immediately, the suspect reportedly became aggressive and threatened to fight him. Later that day, the suspect allegedly assaulted the victim, inflicting serious injuries, including neck and rib fractures. The victim was hospitalized but succumbed to his injuries on 1 April 2025. The suspect was arrested </w:t>
      </w:r>
      <w:r>
        <w:t xml:space="preserve">on </w:t>
      </w:r>
      <w:r>
        <w:t>the same day and detained at the Wau Town Police Station before being remanded to Wau Central Prison on 14 April 2025.</w:t>
      </w:r>
    </w:p>
    <w:p w14:paraId="05627F31" w14:textId="0ECBC675" w:rsidR="00D93742" w:rsidRDefault="00D93742" w:rsidP="00D93742">
      <w:pPr>
        <w:jc w:val="both"/>
      </w:pPr>
      <w:r>
        <w:lastRenderedPageBreak/>
        <w:t xml:space="preserve">The police investigator handling the case confirmed to HRD that the suspect was arrested and charged under Section 206 of the South Sudan Penal Code, 2008 (Murder). The case was first referred to the Wau High Court before being transferred to the Wau North Criminal Court for trial. HRD verified that the suspect remained in lawful custody throughout the process. On </w:t>
      </w:r>
      <w:r>
        <w:t>11 November 2025, the Wau North Criminal Court concluded its proceedings in</w:t>
      </w:r>
      <w:r>
        <w:t xml:space="preserve"> case number 713. The presiding judge reviewed all statements from the complainant, witnesses, and the accused, as well as the medical testimony confirming that the cause of death resulted from a broken neck and ribs.</w:t>
      </w:r>
    </w:p>
    <w:p w14:paraId="1019D439" w14:textId="3D163D18" w:rsidR="00D93742" w:rsidRDefault="00D93742" w:rsidP="00D93742">
      <w:pPr>
        <w:jc w:val="both"/>
      </w:pPr>
      <w:r>
        <w:t>In its judgment, the court found the suspect guilty under Section 206 for causing the death of the victim</w:t>
      </w:r>
      <w:r>
        <w:t>. Still, it reclassified</w:t>
      </w:r>
      <w:r>
        <w:t xml:space="preserve"> the charge to Section 210 (Culpable Homicide) upon determining that the act was not premeditated. Consequently, the suspect was sentenced to seven years’ imprisonment and ordered to pay blood compensation equivalent to thirty‑one (31) heads of cattle to the victim’s family in accordance with Dinka customary law. The compensation is to be facilitated and processed through the Civil Court.</w:t>
      </w:r>
    </w:p>
    <w:p w14:paraId="24BE2826" w14:textId="5D5B3C01" w:rsidR="008B6429" w:rsidRPr="004D7A96" w:rsidRDefault="008B6429" w:rsidP="00D93742">
      <w:pPr>
        <w:rPr>
          <w:i/>
          <w:iCs/>
        </w:rPr>
      </w:pPr>
      <w:r w:rsidRPr="008B6429">
        <w:rPr>
          <w:b/>
          <w:bCs/>
          <w:i/>
          <w:iCs/>
        </w:rPr>
        <w:t>Comments:</w:t>
      </w:r>
      <w:r w:rsidRPr="004D7A96">
        <w:rPr>
          <w:i/>
          <w:iCs/>
        </w:rPr>
        <w:t xml:space="preserve"> HRD will open and close the case in their database and welcome the court's conclusion, ensuring that justice is served. </w:t>
      </w:r>
    </w:p>
    <w:p w14:paraId="024172B4" w14:textId="77777777" w:rsidR="008B6429" w:rsidRDefault="008B6429" w:rsidP="008B6429">
      <w:pPr>
        <w:spacing w:after="0" w:line="240" w:lineRule="auto"/>
        <w:contextualSpacing/>
        <w:jc w:val="both"/>
        <w:rPr>
          <w:rFonts w:eastAsia="Palatino Linotype" w:cs="Times New Roman"/>
          <w:b/>
          <w:kern w:val="0"/>
          <w:sz w:val="24"/>
          <w:szCs w:val="24"/>
          <w14:ligatures w14:val="none"/>
        </w:rPr>
      </w:pPr>
    </w:p>
    <w:p w14:paraId="024C427E" w14:textId="77777777" w:rsidR="00F5787F" w:rsidRDefault="00F5787F" w:rsidP="00F5787F">
      <w:pPr>
        <w:pStyle w:val="ListParagraph"/>
        <w:rPr>
          <w:rFonts w:eastAsia="Palatino Linotype" w:cs="Times New Roman"/>
          <w:b/>
          <w:kern w:val="0"/>
          <w:sz w:val="24"/>
          <w:szCs w:val="24"/>
          <w14:ligatures w14:val="none"/>
        </w:rPr>
      </w:pP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C80D754" w14:textId="77777777" w:rsidR="00B45342" w:rsidRDefault="00B45342" w:rsidP="00B45342">
      <w:pPr>
        <w:spacing w:after="0" w:line="240" w:lineRule="auto"/>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6A441F88" w14:textId="77777777" w:rsidR="006303C5" w:rsidRPr="006303C5" w:rsidRDefault="006303C5" w:rsidP="006303C5">
      <w:pPr>
        <w:pStyle w:val="ListParagraph"/>
        <w:rPr>
          <w:rFonts w:eastAsia="Palatino Linotype" w:cs="Times New Roman"/>
          <w:b/>
          <w:kern w:val="0"/>
          <w:sz w:val="24"/>
          <w:szCs w:val="24"/>
          <w14:ligatures w14:val="none"/>
        </w:rPr>
      </w:pPr>
    </w:p>
    <w:p w14:paraId="18DC8D57" w14:textId="77777777" w:rsidR="006303C5" w:rsidRPr="006303C5" w:rsidRDefault="006303C5" w:rsidP="006303C5">
      <w:pPr>
        <w:pStyle w:val="ListParagraph"/>
        <w:numPr>
          <w:ilvl w:val="0"/>
          <w:numId w:val="20"/>
        </w:numPr>
        <w:spacing w:after="0" w:line="240" w:lineRule="auto"/>
        <w:jc w:val="both"/>
        <w:rPr>
          <w:rFonts w:asciiTheme="majorBidi" w:eastAsia="Calibri" w:hAnsiTheme="majorBidi" w:cstheme="majorBidi"/>
          <w:b/>
          <w:i/>
          <w:iCs/>
        </w:rPr>
      </w:pPr>
      <w:r w:rsidRPr="006303C5">
        <w:rPr>
          <w:rFonts w:asciiTheme="majorBidi" w:hAnsiTheme="majorBidi" w:cstheme="majorBidi"/>
          <w:b/>
          <w:i/>
          <w:iCs/>
        </w:rPr>
        <w:t xml:space="preserve">Follow-up: An element of the South Sudan </w:t>
      </w:r>
      <w:proofErr w:type="spellStart"/>
      <w:r w:rsidRPr="006303C5">
        <w:rPr>
          <w:rFonts w:asciiTheme="majorBidi" w:hAnsiTheme="majorBidi" w:cstheme="majorBidi"/>
          <w:b/>
          <w:i/>
          <w:iCs/>
        </w:rPr>
        <w:t>Defence</w:t>
      </w:r>
      <w:proofErr w:type="spellEnd"/>
      <w:r w:rsidRPr="006303C5">
        <w:rPr>
          <w:rFonts w:asciiTheme="majorBidi" w:hAnsiTheme="majorBidi" w:cstheme="majorBidi"/>
          <w:b/>
          <w:i/>
          <w:iCs/>
        </w:rPr>
        <w:t xml:space="preserve"> Force (SSPDF) raped a 14-year-old female in Hai Daraja residential area of Wau town (Ref-WFO-DSR-20251105). </w:t>
      </w:r>
    </w:p>
    <w:p w14:paraId="602710C1" w14:textId="77777777" w:rsidR="006303C5" w:rsidRPr="009E2589" w:rsidRDefault="006303C5" w:rsidP="006303C5">
      <w:pPr>
        <w:spacing w:after="0" w:line="240" w:lineRule="auto"/>
        <w:jc w:val="both"/>
        <w:rPr>
          <w:rFonts w:asciiTheme="majorBidi" w:eastAsia="Calibri" w:hAnsiTheme="majorBidi" w:cstheme="majorBidi"/>
          <w:b/>
          <w:bCs/>
          <w:i/>
          <w:iCs/>
        </w:rPr>
      </w:pPr>
    </w:p>
    <w:p w14:paraId="55BAA742" w14:textId="77777777" w:rsidR="006303C5" w:rsidRPr="009E2589" w:rsidRDefault="006303C5" w:rsidP="006303C5">
      <w:pPr>
        <w:spacing w:after="0" w:line="240" w:lineRule="auto"/>
        <w:jc w:val="both"/>
        <w:rPr>
          <w:rFonts w:asciiTheme="majorBidi" w:eastAsia="Calibri" w:hAnsiTheme="majorBidi" w:cstheme="majorBidi"/>
          <w:b/>
          <w:bCs/>
          <w:i/>
          <w:iCs/>
        </w:rPr>
      </w:pPr>
    </w:p>
    <w:p w14:paraId="74AF856F" w14:textId="3B76B3CC" w:rsidR="006303C5" w:rsidRPr="009E2589" w:rsidRDefault="006303C5" w:rsidP="006303C5">
      <w:pPr>
        <w:jc w:val="both"/>
        <w:rPr>
          <w:rFonts w:asciiTheme="majorBidi" w:hAnsiTheme="majorBidi" w:cstheme="majorBidi"/>
          <w:b/>
          <w:bCs/>
          <w:i/>
          <w:iCs/>
        </w:rPr>
      </w:pPr>
      <w:r w:rsidRPr="009E2589">
        <w:rPr>
          <w:rFonts w:asciiTheme="majorBidi" w:hAnsiTheme="majorBidi" w:cstheme="majorBidi"/>
          <w:b/>
          <w:bCs/>
          <w:i/>
          <w:iCs/>
        </w:rPr>
        <w:t xml:space="preserve">Background: </w:t>
      </w:r>
      <w:r w:rsidRPr="009E2589">
        <w:rPr>
          <w:rFonts w:asciiTheme="majorBidi" w:hAnsiTheme="majorBidi" w:cstheme="majorBidi"/>
          <w:i/>
          <w:iCs/>
        </w:rPr>
        <w:t>On 5 November 2025, HRD received information from multiple sources that in December 2024 (exact date not specified), an element of the SSPDF raped a 14-year-old girl, Dinka by tribe, in the Hai Daraja residential area of Wau town. HRD interviewed the survivor (name on file), who recounted that in December 2024, she was raped by the suspect, who is a relative of the survivor and a member of the SSPDF attached to the Military Intelligence Unit at the SSPDF Div. 5 Wau (name and rank not specified). She further narrated that the incident occurred at their family residence in the Hai Daraja area while other family members had travelled to the village for the Christmas festivities. She explained that the suspect, who also resides in the same household, repeatedly raped her and threatened her at gunpoint with an AK-47 rifle and a pistol, warning not to disclose the incidents.</w:t>
      </w:r>
      <w:r>
        <w:rPr>
          <w:rFonts w:asciiTheme="majorBidi" w:hAnsiTheme="majorBidi" w:cstheme="majorBidi"/>
          <w:i/>
          <w:iCs/>
        </w:rPr>
        <w:t xml:space="preserve"> </w:t>
      </w:r>
      <w:r w:rsidRPr="009E2589">
        <w:rPr>
          <w:rFonts w:asciiTheme="majorBidi" w:hAnsiTheme="majorBidi" w:cstheme="majorBidi"/>
          <w:i/>
          <w:iCs/>
        </w:rPr>
        <w:t xml:space="preserve">HRD also interviewed a 28-year-old female civilian Dinka by tribe (name on file), who is the survivor’s eldest cousin and complainant in the case. She corroborated the above account of the survivor. </w:t>
      </w:r>
      <w:r w:rsidR="004E4742">
        <w:rPr>
          <w:rFonts w:asciiTheme="majorBidi" w:hAnsiTheme="majorBidi" w:cstheme="majorBidi"/>
          <w:i/>
          <w:iCs/>
        </w:rPr>
        <w:t>Furthermore, she stated that she and her husband, along with other relatives, traveled on 23 December 2024 to attend Christmas in their home village of Gogrial in Warrap State, leaving the suspect, the survivor, and her grandmother</w:t>
      </w:r>
      <w:r w:rsidRPr="009E2589">
        <w:rPr>
          <w:rFonts w:asciiTheme="majorBidi" w:hAnsiTheme="majorBidi" w:cstheme="majorBidi"/>
          <w:i/>
          <w:iCs/>
        </w:rPr>
        <w:t xml:space="preserve"> behind at home. In July 2025, the survivor developed pregnancy symptoms, </w:t>
      </w:r>
      <w:r w:rsidR="004E4742">
        <w:rPr>
          <w:rFonts w:asciiTheme="majorBidi" w:hAnsiTheme="majorBidi" w:cstheme="majorBidi"/>
          <w:i/>
          <w:iCs/>
        </w:rPr>
        <w:t xml:space="preserve">which were </w:t>
      </w:r>
      <w:r w:rsidRPr="009E2589">
        <w:rPr>
          <w:rFonts w:asciiTheme="majorBidi" w:hAnsiTheme="majorBidi" w:cstheme="majorBidi"/>
          <w:i/>
          <w:iCs/>
        </w:rPr>
        <w:t xml:space="preserve">confirmed later through medical examinations. The case was reported to the police, and although the suspect was arrested, he was released the same day. The survivor received medical support and ultimately had a baby via C-section before being hospitalized from July to September. HRD also received information from the prosecution lawyer at </w:t>
      </w:r>
      <w:r w:rsidR="004E4742">
        <w:rPr>
          <w:rFonts w:asciiTheme="majorBidi" w:hAnsiTheme="majorBidi" w:cstheme="majorBidi"/>
          <w:i/>
          <w:iCs/>
        </w:rPr>
        <w:t xml:space="preserve">the One Stop Center, who </w:t>
      </w:r>
      <w:r w:rsidR="004E4742">
        <w:rPr>
          <w:rFonts w:asciiTheme="majorBidi" w:hAnsiTheme="majorBidi" w:cstheme="majorBidi"/>
          <w:i/>
          <w:iCs/>
        </w:rPr>
        <w:lastRenderedPageBreak/>
        <w:t>confirmed that the case is pending trial at Wau North Court. Following</w:t>
      </w:r>
      <w:r w:rsidRPr="009E2589">
        <w:rPr>
          <w:rFonts w:asciiTheme="majorBidi" w:hAnsiTheme="majorBidi" w:cstheme="majorBidi"/>
          <w:i/>
          <w:iCs/>
        </w:rPr>
        <w:t xml:space="preserve"> the delivery of the survivor, the judge adjourned the case to 6 November 2025. </w:t>
      </w:r>
    </w:p>
    <w:p w14:paraId="0C9EFA33" w14:textId="7EAC2A92" w:rsidR="006303C5" w:rsidRPr="009E2589" w:rsidRDefault="006303C5" w:rsidP="006303C5">
      <w:pPr>
        <w:jc w:val="both"/>
        <w:rPr>
          <w:rFonts w:asciiTheme="majorBidi" w:hAnsiTheme="majorBidi" w:cstheme="majorBidi"/>
        </w:rPr>
      </w:pPr>
      <w:r w:rsidRPr="009E2589">
        <w:rPr>
          <w:rFonts w:asciiTheme="majorBidi" w:hAnsiTheme="majorBidi" w:cstheme="majorBidi"/>
          <w:b/>
          <w:bCs/>
        </w:rPr>
        <w:t xml:space="preserve">Update: </w:t>
      </w:r>
      <w:r w:rsidRPr="009E2589">
        <w:rPr>
          <w:rFonts w:asciiTheme="majorBidi" w:hAnsiTheme="majorBidi" w:cstheme="majorBidi"/>
        </w:rPr>
        <w:t>On 12 November 2025, the HRD team remotely followed up on this case with the plaintiff in Wau town</w:t>
      </w:r>
      <w:r w:rsidR="004E4742">
        <w:rPr>
          <w:rFonts w:asciiTheme="majorBidi" w:hAnsiTheme="majorBidi" w:cstheme="majorBidi"/>
        </w:rPr>
        <w:t xml:space="preserve"> to obtain</w:t>
      </w:r>
      <w:r w:rsidRPr="009E2589">
        <w:rPr>
          <w:rFonts w:asciiTheme="majorBidi" w:hAnsiTheme="majorBidi" w:cstheme="majorBidi"/>
        </w:rPr>
        <w:t xml:space="preserve"> updates from the court session that was adjourned to 6 November 2025. The plaintiff informed HRD that the session began with the judge asking the defendant whether any potential </w:t>
      </w:r>
      <w:proofErr w:type="spellStart"/>
      <w:r w:rsidRPr="009E2589">
        <w:rPr>
          <w:rFonts w:asciiTheme="majorBidi" w:hAnsiTheme="majorBidi" w:cstheme="majorBidi"/>
        </w:rPr>
        <w:t>defence</w:t>
      </w:r>
      <w:proofErr w:type="spellEnd"/>
      <w:r w:rsidRPr="009E2589">
        <w:rPr>
          <w:rFonts w:asciiTheme="majorBidi" w:hAnsiTheme="majorBidi" w:cstheme="majorBidi"/>
        </w:rPr>
        <w:t xml:space="preserve"> witnesses were present in the courtroom who </w:t>
      </w:r>
      <w:r w:rsidR="00897019">
        <w:rPr>
          <w:rFonts w:asciiTheme="majorBidi" w:hAnsiTheme="majorBidi" w:cstheme="majorBidi"/>
        </w:rPr>
        <w:t>could</w:t>
      </w:r>
      <w:r w:rsidRPr="009E2589">
        <w:rPr>
          <w:rFonts w:asciiTheme="majorBidi" w:hAnsiTheme="majorBidi" w:cstheme="majorBidi"/>
        </w:rPr>
        <w:t xml:space="preserve"> testify on his innocence.  </w:t>
      </w:r>
    </w:p>
    <w:p w14:paraId="49F12834" w14:textId="77777777" w:rsidR="006303C5" w:rsidRPr="009E2589" w:rsidRDefault="006303C5" w:rsidP="006303C5">
      <w:pPr>
        <w:jc w:val="both"/>
        <w:rPr>
          <w:rFonts w:asciiTheme="majorBidi" w:hAnsiTheme="majorBidi" w:cstheme="majorBidi"/>
        </w:rPr>
      </w:pPr>
      <w:r w:rsidRPr="009E2589">
        <w:rPr>
          <w:rFonts w:asciiTheme="majorBidi" w:hAnsiTheme="majorBidi" w:cstheme="majorBidi"/>
        </w:rPr>
        <w:t>The plaintiff further reported that, although the defendant had previously informed the court that he had no witnesses, he unexpectedly stated during the 6 November session that some of his witnesses were already travelling from Juba to Wau to testify to his innocence. As a result, the court adjourned the hearing to 17 November 2025.</w:t>
      </w:r>
    </w:p>
    <w:p w14:paraId="43A03D24" w14:textId="52AE73B5" w:rsidR="006303C5" w:rsidRPr="009E2589" w:rsidRDefault="006303C5" w:rsidP="006303C5">
      <w:pPr>
        <w:jc w:val="both"/>
        <w:rPr>
          <w:rFonts w:asciiTheme="majorBidi" w:hAnsiTheme="majorBidi" w:cstheme="majorBidi"/>
        </w:rPr>
      </w:pPr>
      <w:r w:rsidRPr="009E2589">
        <w:rPr>
          <w:rFonts w:asciiTheme="majorBidi" w:hAnsiTheme="majorBidi" w:cstheme="majorBidi"/>
        </w:rPr>
        <w:t xml:space="preserve">The plaintiff expressed </w:t>
      </w:r>
      <w:r w:rsidR="00897019">
        <w:rPr>
          <w:rFonts w:asciiTheme="majorBidi" w:hAnsiTheme="majorBidi" w:cstheme="majorBidi"/>
        </w:rPr>
        <w:t>frustration</w:t>
      </w:r>
      <w:r w:rsidRPr="009E2589">
        <w:rPr>
          <w:rFonts w:asciiTheme="majorBidi" w:hAnsiTheme="majorBidi" w:cstheme="majorBidi"/>
        </w:rPr>
        <w:t xml:space="preserve"> </w:t>
      </w:r>
      <w:r w:rsidR="00897019">
        <w:rPr>
          <w:rFonts w:asciiTheme="majorBidi" w:hAnsiTheme="majorBidi" w:cstheme="majorBidi"/>
        </w:rPr>
        <w:t>with</w:t>
      </w:r>
      <w:r w:rsidRPr="009E2589">
        <w:rPr>
          <w:rFonts w:asciiTheme="majorBidi" w:hAnsiTheme="majorBidi" w:cstheme="majorBidi"/>
        </w:rPr>
        <w:t xml:space="preserve"> the delay of the court hearing</w:t>
      </w:r>
      <w:r w:rsidR="00897019">
        <w:rPr>
          <w:rFonts w:asciiTheme="majorBidi" w:hAnsiTheme="majorBidi" w:cstheme="majorBidi"/>
        </w:rPr>
        <w:t>,</w:t>
      </w:r>
      <w:r w:rsidRPr="009E2589">
        <w:rPr>
          <w:rFonts w:asciiTheme="majorBidi" w:hAnsiTheme="majorBidi" w:cstheme="majorBidi"/>
        </w:rPr>
        <w:t xml:space="preserve"> emphasizing that the delay undermined her family’s pursuit of accountability for the alleged perpetrator. She also reported that the accused has been mocking the family for pursuing legal redress since his </w:t>
      </w:r>
      <w:r w:rsidR="00897019">
        <w:rPr>
          <w:rFonts w:asciiTheme="majorBidi" w:hAnsiTheme="majorBidi" w:cstheme="majorBidi"/>
        </w:rPr>
        <w:t>release on</w:t>
      </w:r>
      <w:r w:rsidRPr="009E2589">
        <w:rPr>
          <w:rFonts w:asciiTheme="majorBidi" w:hAnsiTheme="majorBidi" w:cstheme="majorBidi"/>
        </w:rPr>
        <w:t xml:space="preserve"> bail by the SSPDF Div-5 administration in July 2025.         </w:t>
      </w:r>
    </w:p>
    <w:p w14:paraId="75565748" w14:textId="77777777" w:rsidR="006303C5" w:rsidRPr="009E2589" w:rsidRDefault="006303C5" w:rsidP="006303C5">
      <w:pPr>
        <w:jc w:val="both"/>
        <w:rPr>
          <w:rFonts w:asciiTheme="majorBidi" w:hAnsiTheme="majorBidi" w:cstheme="majorBidi"/>
          <w:i/>
          <w:iCs/>
        </w:rPr>
      </w:pPr>
      <w:r w:rsidRPr="009E2589">
        <w:rPr>
          <w:rFonts w:asciiTheme="majorBidi" w:hAnsiTheme="majorBidi" w:cstheme="majorBidi"/>
          <w:b/>
          <w:bCs/>
          <w:i/>
          <w:iCs/>
        </w:rPr>
        <w:t>Comments:</w:t>
      </w:r>
      <w:r w:rsidRPr="009E2589">
        <w:rPr>
          <w:rFonts w:asciiTheme="majorBidi" w:hAnsiTheme="majorBidi" w:cstheme="majorBidi"/>
          <w:i/>
          <w:iCs/>
        </w:rPr>
        <w:t xml:space="preserve"> HRD will monitor the upcoming trial session and report accordingly.</w:t>
      </w:r>
    </w:p>
    <w:p w14:paraId="517E02F4" w14:textId="77777777" w:rsidR="006303C5" w:rsidRDefault="006303C5" w:rsidP="006303C5">
      <w:pPr>
        <w:spacing w:after="0" w:line="240" w:lineRule="auto"/>
        <w:contextualSpacing/>
        <w:jc w:val="both"/>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3ED2548C" w14:textId="77777777" w:rsidR="001B4593" w:rsidRDefault="001B4593" w:rsidP="001B4593">
      <w:pPr>
        <w:pStyle w:val="ListParagraph"/>
        <w:rPr>
          <w:rFonts w:eastAsia="Palatino Linotype" w:cs="Times New Roman"/>
          <w:b/>
          <w:kern w:val="0"/>
          <w:sz w:val="24"/>
          <w:szCs w:val="24"/>
          <w14:ligatures w14:val="none"/>
        </w:rPr>
      </w:pPr>
    </w:p>
    <w:p w14:paraId="2602533B" w14:textId="77777777" w:rsidR="001B4593" w:rsidRPr="003708E5" w:rsidRDefault="001B4593" w:rsidP="001B4593">
      <w:pPr>
        <w:numPr>
          <w:ilvl w:val="0"/>
          <w:numId w:val="22"/>
        </w:numPr>
        <w:spacing w:line="278" w:lineRule="auto"/>
        <w:jc w:val="both"/>
        <w:rPr>
          <w:rFonts w:eastAsia="Noto Sans" w:cs="Times New Roman"/>
          <w:bCs/>
          <w:i/>
          <w:iCs/>
        </w:rPr>
      </w:pPr>
      <w:r w:rsidRPr="003708E5">
        <w:rPr>
          <w:rFonts w:eastAsia="Noto Sans" w:cs="Times New Roman"/>
          <w:b/>
          <w:bCs/>
          <w:i/>
          <w:iCs/>
        </w:rPr>
        <w:t xml:space="preserve">HRD participated in the WBGS Monthly Rule of Law Forum at the </w:t>
      </w:r>
      <w:r>
        <w:rPr>
          <w:rFonts w:eastAsia="Noto Sans" w:cs="Times New Roman"/>
          <w:b/>
          <w:bCs/>
          <w:i/>
          <w:iCs/>
        </w:rPr>
        <w:t>UNDP Office</w:t>
      </w:r>
      <w:r w:rsidRPr="003708E5">
        <w:rPr>
          <w:rFonts w:eastAsia="Noto Sans" w:cs="Times New Roman"/>
          <w:b/>
          <w:bCs/>
          <w:i/>
          <w:iCs/>
        </w:rPr>
        <w:t xml:space="preserve"> in Wau </w:t>
      </w:r>
      <w:r>
        <w:rPr>
          <w:rFonts w:eastAsia="Noto Sans" w:cs="Times New Roman"/>
          <w:b/>
          <w:bCs/>
          <w:i/>
          <w:iCs/>
        </w:rPr>
        <w:t xml:space="preserve">town. </w:t>
      </w:r>
    </w:p>
    <w:p w14:paraId="423FC624" w14:textId="77777777" w:rsidR="001B4593" w:rsidRPr="007C0E1F" w:rsidRDefault="001B4593" w:rsidP="001B4593">
      <w:pPr>
        <w:jc w:val="both"/>
        <w:rPr>
          <w:rFonts w:eastAsia="Noto Sans" w:cs="Times New Roman"/>
          <w:bCs/>
        </w:rPr>
      </w:pPr>
      <w:r w:rsidRPr="007C0E1F">
        <w:rPr>
          <w:rFonts w:eastAsia="Noto Sans" w:cs="Times New Roman"/>
          <w:bCs/>
        </w:rPr>
        <w:t xml:space="preserve">On 13 November 2025, HRD participated in the monthly Western Bahr el Ghazal State (WBGS) Rule of Law Forum, held at the </w:t>
      </w:r>
      <w:r>
        <w:rPr>
          <w:rFonts w:eastAsia="Noto Sans" w:cs="Times New Roman"/>
          <w:bCs/>
        </w:rPr>
        <w:t>UNDP Office</w:t>
      </w:r>
      <w:r w:rsidRPr="007C0E1F">
        <w:rPr>
          <w:rFonts w:eastAsia="Noto Sans" w:cs="Times New Roman"/>
          <w:bCs/>
        </w:rPr>
        <w:t xml:space="preserve"> in Wau. The meeting </w:t>
      </w:r>
      <w:r>
        <w:rPr>
          <w:rFonts w:eastAsia="Noto Sans" w:cs="Times New Roman"/>
          <w:bCs/>
        </w:rPr>
        <w:t>was attended by representatives of</w:t>
      </w:r>
      <w:r w:rsidRPr="007C0E1F">
        <w:rPr>
          <w:rFonts w:eastAsia="Noto Sans" w:cs="Times New Roman"/>
          <w:bCs/>
        </w:rPr>
        <w:t xml:space="preserve"> key institutions, including the Acting President of the High Court, the State Prison Service, the Acting Director of Legal Administration, Wau Central and Juvenile Prisons, the Special Protection Unit (SPU), SSNPS, various UNMISS components (HRD, ROLSIS, CPU, </w:t>
      </w:r>
      <w:r>
        <w:rPr>
          <w:rFonts w:eastAsia="Noto Sans" w:cs="Times New Roman"/>
          <w:bCs/>
        </w:rPr>
        <w:t xml:space="preserve">GAU, </w:t>
      </w:r>
      <w:r w:rsidRPr="007C0E1F">
        <w:rPr>
          <w:rFonts w:eastAsia="Noto Sans" w:cs="Times New Roman"/>
          <w:bCs/>
        </w:rPr>
        <w:t>and UNPOL), as well as civil society organizations such as CVIDO, AYADA, Hold the Child, and LCAD. The forum served as a coordination platform for justice, human rights, and rule of law actors operating within the state.</w:t>
      </w:r>
    </w:p>
    <w:p w14:paraId="23A12667" w14:textId="19329EB5" w:rsidR="001B4593" w:rsidRPr="007C0E1F" w:rsidRDefault="001B4593" w:rsidP="001B4593">
      <w:pPr>
        <w:jc w:val="both"/>
        <w:rPr>
          <w:rFonts w:eastAsia="Noto Sans" w:cs="Times New Roman"/>
          <w:bCs/>
        </w:rPr>
      </w:pPr>
      <w:r w:rsidRPr="007C0E1F">
        <w:rPr>
          <w:rFonts w:eastAsia="Noto Sans" w:cs="Times New Roman"/>
          <w:bCs/>
        </w:rPr>
        <w:t>Justice updates highlighted progress on juvenile cases, where out of six pending cases with expired warrants, five had been resolved</w:t>
      </w:r>
      <w:r w:rsidR="00D93742">
        <w:rPr>
          <w:rFonts w:eastAsia="Noto Sans" w:cs="Times New Roman"/>
          <w:bCs/>
        </w:rPr>
        <w:t>,</w:t>
      </w:r>
      <w:r w:rsidRPr="007C0E1F">
        <w:rPr>
          <w:rFonts w:eastAsia="Noto Sans" w:cs="Times New Roman"/>
          <w:bCs/>
        </w:rPr>
        <w:t xml:space="preserve"> and one remained pending before the court. Participants </w:t>
      </w:r>
      <w:r>
        <w:rPr>
          <w:rFonts w:eastAsia="Noto Sans" w:cs="Times New Roman"/>
          <w:bCs/>
        </w:rPr>
        <w:t>emphasized the importance of enhancing coordination among the judiciary, SPU, and other relevant departments to address delays and reduce pre-trial</w:t>
      </w:r>
      <w:r w:rsidRPr="007C0E1F">
        <w:rPr>
          <w:rFonts w:eastAsia="Noto Sans" w:cs="Times New Roman"/>
          <w:bCs/>
        </w:rPr>
        <w:t xml:space="preserve"> detention. It was agreed that the High Court should conduct weekly prison sessions to </w:t>
      </w:r>
      <w:r>
        <w:rPr>
          <w:rFonts w:eastAsia="Noto Sans" w:cs="Times New Roman"/>
          <w:bCs/>
        </w:rPr>
        <w:t>expedite hearings and alleviate</w:t>
      </w:r>
      <w:r w:rsidRPr="007C0E1F">
        <w:rPr>
          <w:rFonts w:eastAsia="Noto Sans" w:cs="Times New Roman"/>
          <w:bCs/>
        </w:rPr>
        <w:t xml:space="preserve"> overcrowding</w:t>
      </w:r>
      <w:r w:rsidR="004E4742">
        <w:rPr>
          <w:rFonts w:eastAsia="Noto Sans" w:cs="Times New Roman"/>
          <w:bCs/>
        </w:rPr>
        <w:t xml:space="preserve"> in the prisons</w:t>
      </w:r>
      <w:r w:rsidRPr="007C0E1F">
        <w:rPr>
          <w:rFonts w:eastAsia="Noto Sans" w:cs="Times New Roman"/>
          <w:bCs/>
        </w:rPr>
        <w:t>. Concerns were also raised regarding the use of fines and custodial sentences by customary courts, especially against juveniles, prompting a recommendation for continuous engagement with the judiciary to clarify sentencing procedures and ensure alignment with human rights standards.</w:t>
      </w:r>
    </w:p>
    <w:p w14:paraId="784AF04B" w14:textId="77777777" w:rsidR="001B4593" w:rsidRPr="007C0E1F" w:rsidRDefault="001B4593" w:rsidP="001B4593">
      <w:pPr>
        <w:jc w:val="both"/>
        <w:rPr>
          <w:rFonts w:eastAsia="Noto Sans" w:cs="Times New Roman"/>
          <w:bCs/>
        </w:rPr>
      </w:pPr>
      <w:r w:rsidRPr="007C0E1F">
        <w:rPr>
          <w:rFonts w:eastAsia="Noto Sans" w:cs="Times New Roman"/>
          <w:bCs/>
        </w:rPr>
        <w:t xml:space="preserve">The forum also reviewed ongoing human rights issues, including the unresolved case of an alleged abduction by an SSPDF soldier, which remains under investigation. HRD noted that incomplete documentation and limited communication between reporting organizations and justice actors continue to hinder progress, particularly in cases involving persons with disabilities. The Prisons Service shared positive developments in rehabilitation efforts, such as agricultural programs and vocational training for </w:t>
      </w:r>
      <w:r w:rsidRPr="007C0E1F">
        <w:rPr>
          <w:rFonts w:eastAsia="Noto Sans" w:cs="Times New Roman"/>
          <w:bCs/>
        </w:rPr>
        <w:lastRenderedPageBreak/>
        <w:t xml:space="preserve">inmates. Plans are underway to graduate 205 inmates who </w:t>
      </w:r>
      <w:r>
        <w:rPr>
          <w:rFonts w:eastAsia="Noto Sans" w:cs="Times New Roman"/>
          <w:bCs/>
        </w:rPr>
        <w:t>have completed skills training in fields such as</w:t>
      </w:r>
      <w:r w:rsidRPr="007C0E1F">
        <w:rPr>
          <w:rFonts w:eastAsia="Noto Sans" w:cs="Times New Roman"/>
          <w:bCs/>
        </w:rPr>
        <w:t xml:space="preserve"> welding, computing, and farming—an </w:t>
      </w:r>
      <w:r>
        <w:rPr>
          <w:rFonts w:eastAsia="Noto Sans" w:cs="Times New Roman"/>
          <w:bCs/>
        </w:rPr>
        <w:t>essential</w:t>
      </w:r>
      <w:r w:rsidRPr="007C0E1F">
        <w:rPr>
          <w:rFonts w:eastAsia="Noto Sans" w:cs="Times New Roman"/>
          <w:bCs/>
        </w:rPr>
        <w:t xml:space="preserve"> step toward reintegration and self-reliance.</w:t>
      </w:r>
    </w:p>
    <w:p w14:paraId="6DF153E5" w14:textId="59EBC6F8" w:rsidR="001B4593" w:rsidRPr="007C0E1F" w:rsidRDefault="001B4593" w:rsidP="001B4593">
      <w:pPr>
        <w:jc w:val="both"/>
        <w:rPr>
          <w:rFonts w:eastAsia="Noto Sans" w:cs="Times New Roman"/>
          <w:bCs/>
        </w:rPr>
      </w:pPr>
      <w:r w:rsidRPr="007C0E1F">
        <w:rPr>
          <w:rFonts w:eastAsia="Noto Sans" w:cs="Times New Roman"/>
          <w:bCs/>
        </w:rPr>
        <w:t xml:space="preserve">Participants further discussed the importance of disability inclusion in the justice system, </w:t>
      </w:r>
      <w:r>
        <w:rPr>
          <w:rFonts w:eastAsia="Noto Sans" w:cs="Times New Roman"/>
          <w:bCs/>
        </w:rPr>
        <w:t xml:space="preserve">emphasizing the need for both physical accessibility—such as ramps and inclusive infrastructure—and improved service accessibility through the use of </w:t>
      </w:r>
      <w:r w:rsidRPr="007C0E1F">
        <w:rPr>
          <w:rFonts w:eastAsia="Noto Sans" w:cs="Times New Roman"/>
          <w:bCs/>
        </w:rPr>
        <w:t xml:space="preserve">interpreters and awareness training. The forum also focused on preparations for the 2025 “16 Days of Activism” campaign under the theme </w:t>
      </w:r>
      <w:r w:rsidRPr="007C0E1F">
        <w:rPr>
          <w:rFonts w:eastAsia="Noto Sans" w:cs="Times New Roman"/>
          <w:bCs/>
          <w:i/>
          <w:iCs/>
        </w:rPr>
        <w:t>“Ending Digital Violence Against Women and Girls.”</w:t>
      </w:r>
      <w:r w:rsidRPr="007C0E1F">
        <w:rPr>
          <w:rFonts w:eastAsia="Noto Sans" w:cs="Times New Roman"/>
          <w:bCs/>
        </w:rPr>
        <w:t xml:space="preserve"> This year’s activities will concentrate on radio campaigns and community sensitization, led by UNDP and the Ministry of Gender. The meeting concluded with the adoption of key action points, including consistent case data reporting, regular </w:t>
      </w:r>
      <w:r w:rsidR="004E4742">
        <w:rPr>
          <w:rFonts w:eastAsia="Noto Sans" w:cs="Times New Roman"/>
          <w:bCs/>
        </w:rPr>
        <w:t>prison visits</w:t>
      </w:r>
      <w:r>
        <w:rPr>
          <w:rFonts w:eastAsia="Noto Sans" w:cs="Times New Roman"/>
          <w:bCs/>
        </w:rPr>
        <w:t xml:space="preserve"> by High Court judges, and the </w:t>
      </w:r>
      <w:r w:rsidRPr="007C0E1F">
        <w:rPr>
          <w:rFonts w:eastAsia="Noto Sans" w:cs="Times New Roman"/>
          <w:bCs/>
        </w:rPr>
        <w:t>integration of disability awareness into program design</w:t>
      </w:r>
      <w:r w:rsidR="004E4742">
        <w:rPr>
          <w:rFonts w:eastAsia="Noto Sans" w:cs="Times New Roman"/>
          <w:bCs/>
        </w:rPr>
        <w:t xml:space="preserve"> and implementation</w:t>
      </w:r>
      <w:r w:rsidRPr="007C0E1F">
        <w:rPr>
          <w:rFonts w:eastAsia="Noto Sans" w:cs="Times New Roman"/>
          <w:bCs/>
        </w:rPr>
        <w:t>. HRD announced plans to host a panel discussion on Human Rights Day, 10 December, bringing together youth, women, persons with disabilities, and local leaders to promote dialogue on justice, equality, and human rights. The forum ended with a renewed commitment to strengthen collaboration among all state and non-state actors to advance the rule of law in Western Bahr el Ghazal State.</w:t>
      </w:r>
    </w:p>
    <w:p w14:paraId="5E2C72B3" w14:textId="77777777" w:rsidR="001B4593" w:rsidRPr="007C0E1F" w:rsidRDefault="001B4593" w:rsidP="001B4593">
      <w:pPr>
        <w:jc w:val="both"/>
      </w:pPr>
    </w:p>
    <w:p w14:paraId="30E791D5" w14:textId="77777777" w:rsidR="001B4593" w:rsidRDefault="001B4593" w:rsidP="001B4593">
      <w:pPr>
        <w:spacing w:after="0" w:line="240" w:lineRule="auto"/>
        <w:contextualSpacing/>
        <w:jc w:val="both"/>
        <w:rPr>
          <w:rFonts w:eastAsia="Palatino Linotype" w:cs="Times New Roman"/>
          <w:b/>
          <w:kern w:val="0"/>
          <w:sz w:val="24"/>
          <w:szCs w:val="24"/>
          <w14:ligatures w14:val="none"/>
        </w:rPr>
      </w:pPr>
    </w:p>
    <w:p w14:paraId="628BADBC" w14:textId="77777777" w:rsidR="00BE2CCD" w:rsidRDefault="00BE2CCD" w:rsidP="00BE2CCD">
      <w:pPr>
        <w:spacing w:after="0" w:line="240" w:lineRule="auto"/>
        <w:contextualSpacing/>
        <w:jc w:val="both"/>
        <w:rPr>
          <w:rFonts w:eastAsia="Palatino Linotype" w:cs="Times New Roman"/>
          <w:b/>
          <w:kern w:val="0"/>
          <w:sz w:val="24"/>
          <w:szCs w:val="24"/>
          <w14:ligatures w14:val="none"/>
        </w:rPr>
      </w:pPr>
    </w:p>
    <w:p w14:paraId="2CC938A0" w14:textId="1197942B" w:rsidR="00E540F7" w:rsidRPr="00E637E0" w:rsidRDefault="00310619" w:rsidP="00E637E0">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sectPr w:rsidR="00E540F7" w:rsidRPr="00E637E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DB62" w14:textId="77777777" w:rsidR="00D71CE6" w:rsidRDefault="00D71CE6" w:rsidP="00AA4CE7">
      <w:pPr>
        <w:spacing w:after="0" w:line="240" w:lineRule="auto"/>
      </w:pPr>
      <w:r>
        <w:separator/>
      </w:r>
    </w:p>
  </w:endnote>
  <w:endnote w:type="continuationSeparator" w:id="0">
    <w:p w14:paraId="55D5ECB6" w14:textId="77777777" w:rsidR="00D71CE6" w:rsidRDefault="00D71CE6"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oto Sans">
    <w:charset w:val="00"/>
    <w:family w:val="swiss"/>
    <w:pitch w:val="variable"/>
    <w:sig w:usb0="E00082FF" w:usb1="400078F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4E672C32"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w:t>
    </w:r>
    <w:r w:rsidR="00BE2CCD">
      <w:rPr>
        <w:rFonts w:cs="Times New Roman"/>
        <w:i/>
        <w:iCs/>
        <w:color w:val="0070C0"/>
        <w:sz w:val="20"/>
        <w:szCs w:val="20"/>
      </w:rPr>
      <w:t>1</w:t>
    </w:r>
    <w:r w:rsidR="002F25C1">
      <w:rPr>
        <w:rFonts w:cs="Times New Roman"/>
        <w:i/>
        <w:iCs/>
        <w:color w:val="0070C0"/>
        <w:sz w:val="20"/>
        <w:szCs w:val="20"/>
      </w:rPr>
      <w:t>3</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6495" w14:textId="77777777" w:rsidR="00D71CE6" w:rsidRDefault="00D71CE6" w:rsidP="00AA4CE7">
      <w:pPr>
        <w:spacing w:after="0" w:line="240" w:lineRule="auto"/>
      </w:pPr>
      <w:r>
        <w:separator/>
      </w:r>
    </w:p>
  </w:footnote>
  <w:footnote w:type="continuationSeparator" w:id="0">
    <w:p w14:paraId="52E1765D" w14:textId="77777777" w:rsidR="00D71CE6" w:rsidRDefault="00D71CE6"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D0D61"/>
    <w:multiLevelType w:val="hybridMultilevel"/>
    <w:tmpl w:val="223252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0137B"/>
    <w:multiLevelType w:val="hybridMultilevel"/>
    <w:tmpl w:val="2B42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960D00"/>
    <w:multiLevelType w:val="hybridMultilevel"/>
    <w:tmpl w:val="B344B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2983775">
    <w:abstractNumId w:val="18"/>
  </w:num>
  <w:num w:numId="2" w16cid:durableId="939069266">
    <w:abstractNumId w:val="17"/>
  </w:num>
  <w:num w:numId="3" w16cid:durableId="1374426691">
    <w:abstractNumId w:val="10"/>
  </w:num>
  <w:num w:numId="4" w16cid:durableId="1734085182">
    <w:abstractNumId w:val="6"/>
  </w:num>
  <w:num w:numId="5" w16cid:durableId="2042440957">
    <w:abstractNumId w:val="11"/>
  </w:num>
  <w:num w:numId="6" w16cid:durableId="60753850">
    <w:abstractNumId w:val="3"/>
  </w:num>
  <w:num w:numId="7" w16cid:durableId="317194670">
    <w:abstractNumId w:val="5"/>
  </w:num>
  <w:num w:numId="8" w16cid:durableId="664359144">
    <w:abstractNumId w:val="9"/>
  </w:num>
  <w:num w:numId="9" w16cid:durableId="1221096349">
    <w:abstractNumId w:val="19"/>
  </w:num>
  <w:num w:numId="10" w16cid:durableId="1258905459">
    <w:abstractNumId w:val="4"/>
  </w:num>
  <w:num w:numId="11" w16cid:durableId="1388071555">
    <w:abstractNumId w:val="15"/>
  </w:num>
  <w:num w:numId="12" w16cid:durableId="1303847417">
    <w:abstractNumId w:val="21"/>
  </w:num>
  <w:num w:numId="13" w16cid:durableId="1480536990">
    <w:abstractNumId w:val="16"/>
  </w:num>
  <w:num w:numId="14" w16cid:durableId="132144462">
    <w:abstractNumId w:val="14"/>
  </w:num>
  <w:num w:numId="15" w16cid:durableId="272445786">
    <w:abstractNumId w:val="2"/>
  </w:num>
  <w:num w:numId="16" w16cid:durableId="5131155">
    <w:abstractNumId w:val="1"/>
  </w:num>
  <w:num w:numId="17" w16cid:durableId="1119297407">
    <w:abstractNumId w:val="0"/>
  </w:num>
  <w:num w:numId="18" w16cid:durableId="1314487194">
    <w:abstractNumId w:val="7"/>
  </w:num>
  <w:num w:numId="19" w16cid:durableId="1579249423">
    <w:abstractNumId w:val="20"/>
  </w:num>
  <w:num w:numId="20" w16cid:durableId="174076970">
    <w:abstractNumId w:val="22"/>
  </w:num>
  <w:num w:numId="21" w16cid:durableId="571964458">
    <w:abstractNumId w:val="12"/>
  </w:num>
  <w:num w:numId="22" w16cid:durableId="2009671235">
    <w:abstractNumId w:val="8"/>
  </w:num>
  <w:num w:numId="23" w16cid:durableId="1550800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4B5C"/>
    <w:rsid w:val="000910FD"/>
    <w:rsid w:val="000955F3"/>
    <w:rsid w:val="0013782F"/>
    <w:rsid w:val="001620B2"/>
    <w:rsid w:val="001829D2"/>
    <w:rsid w:val="00190381"/>
    <w:rsid w:val="00195BBE"/>
    <w:rsid w:val="001B4593"/>
    <w:rsid w:val="001C7571"/>
    <w:rsid w:val="001D2287"/>
    <w:rsid w:val="001D4062"/>
    <w:rsid w:val="001E21CB"/>
    <w:rsid w:val="001E6A2D"/>
    <w:rsid w:val="001F4EE1"/>
    <w:rsid w:val="00295634"/>
    <w:rsid w:val="0029664F"/>
    <w:rsid w:val="002B24CF"/>
    <w:rsid w:val="002E5005"/>
    <w:rsid w:val="002F25C1"/>
    <w:rsid w:val="002F69E3"/>
    <w:rsid w:val="00310619"/>
    <w:rsid w:val="003119A0"/>
    <w:rsid w:val="00333FF9"/>
    <w:rsid w:val="00357542"/>
    <w:rsid w:val="00374B31"/>
    <w:rsid w:val="003944E0"/>
    <w:rsid w:val="00396531"/>
    <w:rsid w:val="003D5D1D"/>
    <w:rsid w:val="0041049F"/>
    <w:rsid w:val="00456AD9"/>
    <w:rsid w:val="00465E2E"/>
    <w:rsid w:val="004A53EB"/>
    <w:rsid w:val="004B0193"/>
    <w:rsid w:val="004C0374"/>
    <w:rsid w:val="004C08B2"/>
    <w:rsid w:val="004C1F8F"/>
    <w:rsid w:val="004D553A"/>
    <w:rsid w:val="004E4742"/>
    <w:rsid w:val="004E7F03"/>
    <w:rsid w:val="004F3124"/>
    <w:rsid w:val="005202D4"/>
    <w:rsid w:val="00536C56"/>
    <w:rsid w:val="00560570"/>
    <w:rsid w:val="005A3D0B"/>
    <w:rsid w:val="005A6BEE"/>
    <w:rsid w:val="005E2F83"/>
    <w:rsid w:val="005F1204"/>
    <w:rsid w:val="005F43D4"/>
    <w:rsid w:val="006303C5"/>
    <w:rsid w:val="006312A7"/>
    <w:rsid w:val="00636897"/>
    <w:rsid w:val="00643DD9"/>
    <w:rsid w:val="00647551"/>
    <w:rsid w:val="006764ED"/>
    <w:rsid w:val="006D0071"/>
    <w:rsid w:val="006D0A20"/>
    <w:rsid w:val="006F446D"/>
    <w:rsid w:val="00793278"/>
    <w:rsid w:val="007B2793"/>
    <w:rsid w:val="007F73B1"/>
    <w:rsid w:val="00802178"/>
    <w:rsid w:val="0080592E"/>
    <w:rsid w:val="00860C20"/>
    <w:rsid w:val="00897019"/>
    <w:rsid w:val="008A5B68"/>
    <w:rsid w:val="008B4DA3"/>
    <w:rsid w:val="008B5AB3"/>
    <w:rsid w:val="008B6429"/>
    <w:rsid w:val="008B73A6"/>
    <w:rsid w:val="009073D4"/>
    <w:rsid w:val="009743C9"/>
    <w:rsid w:val="00990F01"/>
    <w:rsid w:val="00995F5E"/>
    <w:rsid w:val="009B2F8D"/>
    <w:rsid w:val="009D19B9"/>
    <w:rsid w:val="009E43EC"/>
    <w:rsid w:val="00A3360A"/>
    <w:rsid w:val="00A37E09"/>
    <w:rsid w:val="00A40B62"/>
    <w:rsid w:val="00A77B23"/>
    <w:rsid w:val="00AA4CE7"/>
    <w:rsid w:val="00AB348A"/>
    <w:rsid w:val="00AC2D04"/>
    <w:rsid w:val="00B1607D"/>
    <w:rsid w:val="00B168B8"/>
    <w:rsid w:val="00B353ED"/>
    <w:rsid w:val="00B45342"/>
    <w:rsid w:val="00B941FE"/>
    <w:rsid w:val="00B9570A"/>
    <w:rsid w:val="00B97832"/>
    <w:rsid w:val="00BE2CCD"/>
    <w:rsid w:val="00C1642C"/>
    <w:rsid w:val="00C20F45"/>
    <w:rsid w:val="00C34A91"/>
    <w:rsid w:val="00C637E7"/>
    <w:rsid w:val="00C8037C"/>
    <w:rsid w:val="00C81724"/>
    <w:rsid w:val="00C82BC9"/>
    <w:rsid w:val="00C957A4"/>
    <w:rsid w:val="00CD1A71"/>
    <w:rsid w:val="00CD30E0"/>
    <w:rsid w:val="00D1293A"/>
    <w:rsid w:val="00D15EF9"/>
    <w:rsid w:val="00D2259D"/>
    <w:rsid w:val="00D71CE6"/>
    <w:rsid w:val="00D732C6"/>
    <w:rsid w:val="00D73E61"/>
    <w:rsid w:val="00D93742"/>
    <w:rsid w:val="00DA79C1"/>
    <w:rsid w:val="00DD2A06"/>
    <w:rsid w:val="00DD310D"/>
    <w:rsid w:val="00DD7F0F"/>
    <w:rsid w:val="00DE4ACF"/>
    <w:rsid w:val="00E10DFB"/>
    <w:rsid w:val="00E16E0B"/>
    <w:rsid w:val="00E540F7"/>
    <w:rsid w:val="00E6281D"/>
    <w:rsid w:val="00E637E0"/>
    <w:rsid w:val="00E85891"/>
    <w:rsid w:val="00E924AE"/>
    <w:rsid w:val="00E95745"/>
    <w:rsid w:val="00EC602B"/>
    <w:rsid w:val="00EE06A9"/>
    <w:rsid w:val="00EF2116"/>
    <w:rsid w:val="00F008F0"/>
    <w:rsid w:val="00F03CF7"/>
    <w:rsid w:val="00F21618"/>
    <w:rsid w:val="00F23CB4"/>
    <w:rsid w:val="00F457F5"/>
    <w:rsid w:val="00F5787F"/>
    <w:rsid w:val="00F6702B"/>
    <w:rsid w:val="00F71CAE"/>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0305739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2064</Words>
  <Characters>11334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2025-11-13T15:13:00Z</dcterms:created>
  <dcterms:modified xsi:type="dcterms:W3CDTF">2025-11-13T15:24:00Z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