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516794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7C4A2B4A"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2C29D6">
        <w:rPr>
          <w:rFonts w:ascii="Times New Roman" w:eastAsia="Times New Roman" w:hAnsi="Times New Roman" w:cs="Times New Roman"/>
          <w:b/>
          <w:i/>
          <w:iCs/>
          <w:color w:val="4472C4" w:themeColor="accent1"/>
          <w:sz w:val="24"/>
          <w:szCs w:val="24"/>
        </w:rPr>
        <w:t>20</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0C366D">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04C8E954" w14:textId="61B2FF0D" w:rsidR="005E63B6" w:rsidRDefault="005E63B6" w:rsidP="00722BB3">
      <w:pPr>
        <w:pStyle w:val="ListParagraph"/>
        <w:numPr>
          <w:ilvl w:val="0"/>
          <w:numId w:val="24"/>
        </w:numPr>
        <w:jc w:val="both"/>
        <w:rPr>
          <w:rFonts w:ascii="Times New Roman" w:hAnsi="Times New Roman" w:cs="Times New Roman"/>
          <w:i/>
          <w:iCs/>
          <w:sz w:val="24"/>
          <w:szCs w:val="24"/>
        </w:rPr>
      </w:pPr>
      <w:bookmarkStart w:id="0" w:name="_Hlk163836907"/>
      <w:r>
        <w:rPr>
          <w:rFonts w:ascii="Times New Roman" w:hAnsi="Times New Roman" w:cs="Times New Roman"/>
          <w:i/>
          <w:iCs/>
          <w:sz w:val="24"/>
          <w:szCs w:val="24"/>
        </w:rPr>
        <w:t>HRD continued to monitor and investigate the attack in Adong Payam</w:t>
      </w:r>
      <w:r w:rsidR="005D0560">
        <w:rPr>
          <w:rFonts w:ascii="Times New Roman" w:hAnsi="Times New Roman" w:cs="Times New Roman"/>
          <w:i/>
          <w:iCs/>
          <w:sz w:val="24"/>
          <w:szCs w:val="24"/>
        </w:rPr>
        <w:t>,</w:t>
      </w:r>
      <w:r>
        <w:rPr>
          <w:rFonts w:ascii="Times New Roman" w:hAnsi="Times New Roman" w:cs="Times New Roman"/>
          <w:i/>
          <w:iCs/>
          <w:sz w:val="24"/>
          <w:szCs w:val="24"/>
        </w:rPr>
        <w:t xml:space="preserve"> Baliet County.</w:t>
      </w:r>
    </w:p>
    <w:p w14:paraId="29900B34" w14:textId="42568CB5" w:rsidR="008A6ECC" w:rsidRDefault="008A6ECC" w:rsidP="00722BB3">
      <w:pPr>
        <w:pStyle w:val="ListParagraph"/>
        <w:numPr>
          <w:ilvl w:val="0"/>
          <w:numId w:val="24"/>
        </w:numPr>
        <w:jc w:val="both"/>
        <w:rPr>
          <w:rFonts w:ascii="Times New Roman" w:hAnsi="Times New Roman" w:cs="Times New Roman"/>
          <w:i/>
          <w:iCs/>
          <w:sz w:val="24"/>
          <w:szCs w:val="24"/>
        </w:rPr>
      </w:pPr>
      <w:r>
        <w:rPr>
          <w:rFonts w:ascii="Times New Roman" w:hAnsi="Times New Roman" w:cs="Times New Roman"/>
          <w:i/>
          <w:iCs/>
          <w:sz w:val="24"/>
          <w:szCs w:val="24"/>
        </w:rPr>
        <w:t>HRD docume</w:t>
      </w:r>
      <w:r w:rsidR="005D0560">
        <w:rPr>
          <w:rFonts w:ascii="Times New Roman" w:hAnsi="Times New Roman" w:cs="Times New Roman"/>
          <w:i/>
          <w:iCs/>
          <w:sz w:val="24"/>
          <w:szCs w:val="24"/>
        </w:rPr>
        <w:t>nted</w:t>
      </w:r>
      <w:r>
        <w:rPr>
          <w:rFonts w:ascii="Times New Roman" w:hAnsi="Times New Roman" w:cs="Times New Roman"/>
          <w:i/>
          <w:iCs/>
          <w:sz w:val="24"/>
          <w:szCs w:val="24"/>
        </w:rPr>
        <w:t xml:space="preserve"> the killing of 6 civilian in Gal-Achel Payam</w:t>
      </w:r>
      <w:r w:rsidR="005D0560">
        <w:rPr>
          <w:rFonts w:ascii="Times New Roman" w:hAnsi="Times New Roman" w:cs="Times New Roman"/>
          <w:i/>
          <w:iCs/>
          <w:sz w:val="24"/>
          <w:szCs w:val="24"/>
        </w:rPr>
        <w:t xml:space="preserve">, </w:t>
      </w:r>
      <w:r>
        <w:rPr>
          <w:rFonts w:ascii="Times New Roman" w:hAnsi="Times New Roman" w:cs="Times New Roman"/>
          <w:i/>
          <w:iCs/>
          <w:sz w:val="24"/>
          <w:szCs w:val="24"/>
        </w:rPr>
        <w:t>Baliet County.</w:t>
      </w:r>
    </w:p>
    <w:p w14:paraId="44C291F4" w14:textId="65DE8914" w:rsidR="0073537D" w:rsidRDefault="005E63B6" w:rsidP="00722BB3">
      <w:pPr>
        <w:pStyle w:val="ListParagraph"/>
        <w:numPr>
          <w:ilvl w:val="0"/>
          <w:numId w:val="24"/>
        </w:numPr>
        <w:jc w:val="both"/>
        <w:rPr>
          <w:rFonts w:ascii="Times New Roman" w:hAnsi="Times New Roman" w:cs="Times New Roman"/>
          <w:i/>
          <w:iCs/>
          <w:sz w:val="24"/>
          <w:szCs w:val="24"/>
        </w:rPr>
      </w:pPr>
      <w:r>
        <w:rPr>
          <w:rFonts w:ascii="Times New Roman" w:hAnsi="Times New Roman" w:cs="Times New Roman"/>
          <w:i/>
          <w:iCs/>
          <w:sz w:val="24"/>
          <w:szCs w:val="24"/>
        </w:rPr>
        <w:t xml:space="preserve">HRD Conducted a </w:t>
      </w:r>
      <w:r w:rsidR="00957137" w:rsidRPr="00957137">
        <w:rPr>
          <w:rFonts w:ascii="Times New Roman" w:hAnsi="Times New Roman" w:cs="Times New Roman"/>
          <w:i/>
          <w:iCs/>
          <w:sz w:val="24"/>
          <w:szCs w:val="24"/>
        </w:rPr>
        <w:t>Monitoring Visit to Police and Prison Authorities</w:t>
      </w:r>
      <w:r>
        <w:rPr>
          <w:rFonts w:ascii="Times New Roman" w:hAnsi="Times New Roman" w:cs="Times New Roman"/>
          <w:i/>
          <w:iCs/>
          <w:sz w:val="24"/>
          <w:szCs w:val="24"/>
        </w:rPr>
        <w:t xml:space="preserve"> in </w:t>
      </w:r>
      <w:r w:rsidR="00957137">
        <w:rPr>
          <w:rFonts w:ascii="Times New Roman" w:hAnsi="Times New Roman" w:cs="Times New Roman"/>
          <w:i/>
          <w:iCs/>
          <w:sz w:val="24"/>
          <w:szCs w:val="24"/>
        </w:rPr>
        <w:t>Malakal Town</w:t>
      </w:r>
      <w:r>
        <w:rPr>
          <w:rFonts w:ascii="Times New Roman" w:hAnsi="Times New Roman" w:cs="Times New Roman"/>
          <w:i/>
          <w:iCs/>
          <w:sz w:val="24"/>
          <w:szCs w:val="24"/>
        </w:rPr>
        <w:t>.</w:t>
      </w:r>
    </w:p>
    <w:p w14:paraId="140933E6" w14:textId="253DA9A5" w:rsidR="0075388B" w:rsidRPr="0075388B" w:rsidRDefault="0075388B" w:rsidP="0075388B">
      <w:pPr>
        <w:pStyle w:val="ListParagraph"/>
        <w:numPr>
          <w:ilvl w:val="0"/>
          <w:numId w:val="24"/>
        </w:numPr>
        <w:rPr>
          <w:rFonts w:ascii="Times New Roman" w:hAnsi="Times New Roman" w:cs="Times New Roman"/>
          <w:i/>
          <w:iCs/>
          <w:sz w:val="24"/>
          <w:szCs w:val="24"/>
        </w:rPr>
      </w:pPr>
      <w:r w:rsidRPr="0075388B">
        <w:rPr>
          <w:rFonts w:ascii="Times New Roman" w:hAnsi="Times New Roman" w:cs="Times New Roman"/>
          <w:i/>
          <w:iCs/>
          <w:sz w:val="24"/>
          <w:szCs w:val="24"/>
        </w:rPr>
        <w:t>HRD Monitor</w:t>
      </w:r>
      <w:r w:rsidR="005E63B6">
        <w:rPr>
          <w:rFonts w:ascii="Times New Roman" w:hAnsi="Times New Roman" w:cs="Times New Roman"/>
          <w:i/>
          <w:iCs/>
          <w:sz w:val="24"/>
          <w:szCs w:val="24"/>
        </w:rPr>
        <w:t>ed</w:t>
      </w:r>
      <w:r w:rsidRPr="0075388B">
        <w:rPr>
          <w:rFonts w:ascii="Times New Roman" w:hAnsi="Times New Roman" w:cs="Times New Roman"/>
          <w:i/>
          <w:iCs/>
          <w:sz w:val="24"/>
          <w:szCs w:val="24"/>
        </w:rPr>
        <w:t xml:space="preserve"> Inmate Welfare and Detention </w:t>
      </w:r>
      <w:r w:rsidR="005E63B6" w:rsidRPr="0075388B">
        <w:rPr>
          <w:rFonts w:ascii="Times New Roman" w:hAnsi="Times New Roman" w:cs="Times New Roman"/>
          <w:i/>
          <w:iCs/>
          <w:sz w:val="24"/>
          <w:szCs w:val="24"/>
        </w:rPr>
        <w:t xml:space="preserve">Conditions </w:t>
      </w:r>
      <w:r w:rsidR="005E63B6">
        <w:rPr>
          <w:rFonts w:ascii="Times New Roman" w:hAnsi="Times New Roman" w:cs="Times New Roman"/>
          <w:i/>
          <w:iCs/>
          <w:sz w:val="24"/>
          <w:szCs w:val="24"/>
        </w:rPr>
        <w:t xml:space="preserve">at the </w:t>
      </w:r>
      <w:r w:rsidRPr="0075388B">
        <w:rPr>
          <w:rFonts w:ascii="Times New Roman" w:hAnsi="Times New Roman" w:cs="Times New Roman"/>
          <w:i/>
          <w:iCs/>
          <w:sz w:val="24"/>
          <w:szCs w:val="24"/>
        </w:rPr>
        <w:t>Malakal Central Prison</w:t>
      </w:r>
      <w:r w:rsidR="005E63B6">
        <w:rPr>
          <w:rFonts w:ascii="Times New Roman" w:hAnsi="Times New Roman" w:cs="Times New Roman"/>
          <w:i/>
          <w:iCs/>
          <w:sz w:val="24"/>
          <w:szCs w:val="24"/>
        </w:rPr>
        <w:t>.</w:t>
      </w:r>
      <w:r w:rsidRPr="0075388B">
        <w:rPr>
          <w:rFonts w:ascii="Times New Roman" w:hAnsi="Times New Roman" w:cs="Times New Roman"/>
          <w:i/>
          <w:iCs/>
          <w:sz w:val="24"/>
          <w:szCs w:val="24"/>
        </w:rPr>
        <w:t xml:space="preserve">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5C868AE"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A6ECC">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p>
    <w:p w14:paraId="3464B55A" w14:textId="77777777" w:rsidR="008A6ECC" w:rsidRDefault="008A6ECC" w:rsidP="008A6ECC">
      <w:pPr>
        <w:rPr>
          <w:rFonts w:ascii="Times New Roman" w:eastAsia="Palatino Linotype" w:hAnsi="Times New Roman" w:cs="Times New Roman"/>
          <w:bCs/>
          <w:i/>
          <w:iCs/>
          <w:sz w:val="24"/>
          <w:szCs w:val="24"/>
        </w:rPr>
      </w:pPr>
    </w:p>
    <w:p w14:paraId="440FA95B" w14:textId="12F9C354" w:rsidR="005E63B6" w:rsidRPr="005E63B6" w:rsidRDefault="005E63B6" w:rsidP="005E63B6">
      <w:pPr>
        <w:pStyle w:val="ListParagraph"/>
        <w:numPr>
          <w:ilvl w:val="0"/>
          <w:numId w:val="24"/>
        </w:numPr>
        <w:jc w:val="both"/>
        <w:rPr>
          <w:rFonts w:ascii="Times New Roman" w:hAnsi="Times New Roman" w:cs="Times New Roman"/>
          <w:i/>
          <w:iCs/>
          <w:sz w:val="24"/>
          <w:szCs w:val="24"/>
        </w:rPr>
      </w:pPr>
      <w:r w:rsidRPr="005E63B6">
        <w:rPr>
          <w:rFonts w:ascii="Times New Roman" w:hAnsi="Times New Roman" w:cs="Times New Roman"/>
          <w:b/>
          <w:bCs/>
          <w:i/>
          <w:iCs/>
          <w:sz w:val="24"/>
          <w:szCs w:val="24"/>
        </w:rPr>
        <w:t>HRD continued to monitor and investigate the attack in Adong Payam in Baliet County</w:t>
      </w:r>
      <w:r>
        <w:rPr>
          <w:rFonts w:ascii="Times New Roman" w:hAnsi="Times New Roman" w:cs="Times New Roman"/>
          <w:i/>
          <w:iCs/>
          <w:sz w:val="24"/>
          <w:szCs w:val="24"/>
        </w:rPr>
        <w:t>.</w:t>
      </w:r>
    </w:p>
    <w:p w14:paraId="6442CE42" w14:textId="77777777" w:rsidR="005E63B6" w:rsidRPr="005E63B6" w:rsidRDefault="005E63B6" w:rsidP="005E63B6">
      <w:pPr>
        <w:pStyle w:val="NormalWeb"/>
        <w:jc w:val="both"/>
        <w:rPr>
          <w:sz w:val="22"/>
          <w:szCs w:val="22"/>
        </w:rPr>
      </w:pPr>
      <w:r w:rsidRPr="005E63B6">
        <w:rPr>
          <w:sz w:val="22"/>
          <w:szCs w:val="22"/>
        </w:rPr>
        <w:t>On 20 November, HRD continued its investigation into the 14 November attack in Adong Payam, Baliet County. The team engaged with multiple sources, including county authorities, who reported that at least 73 people were killed during the attack, including, 46 men, 20 women, and 7 children (3 girls and 4 boys). At least 62 others were reported injured with gunshot wounds.</w:t>
      </w:r>
    </w:p>
    <w:p w14:paraId="71EFB8C1" w14:textId="77777777" w:rsidR="005E63B6" w:rsidRPr="005E63B6" w:rsidRDefault="005E63B6" w:rsidP="005E63B6">
      <w:pPr>
        <w:pStyle w:val="NormalWeb"/>
        <w:jc w:val="both"/>
        <w:rPr>
          <w:sz w:val="22"/>
          <w:szCs w:val="22"/>
        </w:rPr>
      </w:pPr>
      <w:r w:rsidRPr="005E63B6">
        <w:rPr>
          <w:sz w:val="22"/>
          <w:szCs w:val="22"/>
        </w:rPr>
        <w:t>HRD has so far verified and confirmed details of 49 individuals with gunshot injuries, including 27 men, 25 women, and at least 15 children (including 6 girls). County authorities further indicated that all those killed in Adong were buried in mass graves. Local and state authorities are reportedly working to restore calm and prevent further escalation, particularly among youth groups.</w:t>
      </w:r>
    </w:p>
    <w:p w14:paraId="148FAAD8" w14:textId="77777777" w:rsidR="005E63B6" w:rsidRPr="005E63B6" w:rsidRDefault="005E63B6" w:rsidP="005E63B6">
      <w:pPr>
        <w:pStyle w:val="NormalWeb"/>
        <w:jc w:val="both"/>
        <w:rPr>
          <w:sz w:val="22"/>
          <w:szCs w:val="22"/>
        </w:rPr>
      </w:pPr>
      <w:r w:rsidRPr="005E63B6">
        <w:rPr>
          <w:sz w:val="22"/>
          <w:szCs w:val="22"/>
        </w:rPr>
        <w:t>The attack also triggered significant displacement. Current estimates indicate that more than 7,000 people fled to Baliet Town, 3,500 to Nyongrial, and 1,500 to Mijok payams within Baliet County.</w:t>
      </w:r>
    </w:p>
    <w:p w14:paraId="6699D524" w14:textId="77777777" w:rsidR="005E63B6" w:rsidRPr="005E63B6" w:rsidRDefault="005E63B6" w:rsidP="005E63B6">
      <w:pPr>
        <w:pStyle w:val="NormalWeb"/>
        <w:jc w:val="both"/>
        <w:rPr>
          <w:sz w:val="22"/>
          <w:szCs w:val="22"/>
        </w:rPr>
      </w:pPr>
      <w:r w:rsidRPr="005E63B6">
        <w:rPr>
          <w:sz w:val="22"/>
          <w:szCs w:val="22"/>
        </w:rPr>
        <w:t>HRD also received information that government forces conducted aerial bombardments on the night of 19 November in Parial village, Doma Payam, Ulang County, which is reportedly an assembly point for the White Army. HRD has yet to confirm the impact on civilians.</w:t>
      </w:r>
    </w:p>
    <w:p w14:paraId="7130AAE0" w14:textId="12C71DD9" w:rsidR="008A6ECC" w:rsidRDefault="005E63B6" w:rsidP="005E63B6">
      <w:pPr>
        <w:pStyle w:val="NormalWeb"/>
        <w:jc w:val="both"/>
        <w:rPr>
          <w:i/>
          <w:iCs/>
          <w:sz w:val="22"/>
          <w:szCs w:val="22"/>
        </w:rPr>
      </w:pPr>
      <w:r w:rsidRPr="005E63B6">
        <w:rPr>
          <w:rStyle w:val="Strong"/>
          <w:i/>
          <w:iCs/>
          <w:sz w:val="22"/>
          <w:szCs w:val="22"/>
        </w:rPr>
        <w:t>Comment:</w:t>
      </w:r>
      <w:r w:rsidRPr="005E63B6">
        <w:rPr>
          <w:i/>
          <w:iCs/>
          <w:sz w:val="22"/>
          <w:szCs w:val="22"/>
        </w:rPr>
        <w:t xml:space="preserve"> The security situation in Baliet and Ulang remains highly volatile, with ongoing risks of further violence and retaliation. Continued engagement with local authorities and communities is crucial to help prevent escalation and ensure that adequate protection measures are in place for civilians, including displaced populations.</w:t>
      </w:r>
    </w:p>
    <w:p w14:paraId="137D9AE6" w14:textId="77777777" w:rsidR="005E63B6" w:rsidRPr="005E63B6" w:rsidRDefault="005E63B6" w:rsidP="005E63B6">
      <w:pPr>
        <w:pStyle w:val="NormalWeb"/>
        <w:jc w:val="both"/>
        <w:rPr>
          <w:i/>
          <w:iCs/>
          <w:sz w:val="22"/>
          <w:szCs w:val="22"/>
        </w:rPr>
      </w:pPr>
    </w:p>
    <w:p w14:paraId="071488E6" w14:textId="4E8F5E00" w:rsidR="008A6ECC" w:rsidRPr="008A6ECC" w:rsidRDefault="008A6ECC" w:rsidP="008A6ECC">
      <w:pPr>
        <w:pStyle w:val="NormalWeb"/>
        <w:numPr>
          <w:ilvl w:val="0"/>
          <w:numId w:val="24"/>
        </w:numPr>
        <w:jc w:val="both"/>
        <w:rPr>
          <w:b/>
          <w:bCs/>
        </w:rPr>
      </w:pPr>
      <w:r w:rsidRPr="008A6ECC">
        <w:rPr>
          <w:b/>
          <w:bCs/>
          <w:i/>
          <w:iCs/>
        </w:rPr>
        <w:lastRenderedPageBreak/>
        <w:t>HRD documents the killing of 6 civilian in Gal-Achel Payam in Baliet County</w:t>
      </w:r>
    </w:p>
    <w:p w14:paraId="4932FC06" w14:textId="73185227" w:rsidR="008A6ECC" w:rsidRPr="008A6ECC" w:rsidRDefault="008A6ECC" w:rsidP="008A6ECC">
      <w:pPr>
        <w:pStyle w:val="NormalWeb"/>
        <w:jc w:val="both"/>
        <w:rPr>
          <w:sz w:val="22"/>
          <w:szCs w:val="22"/>
        </w:rPr>
      </w:pPr>
      <w:r w:rsidRPr="008A6ECC">
        <w:rPr>
          <w:sz w:val="22"/>
          <w:szCs w:val="22"/>
        </w:rPr>
        <w:t xml:space="preserve">On 20 November, multiple sources reported that six Nuer male civilians were shot and killed in Gal-Achel, Baliet County. The victims were reportedly boat pilots who transport goods from Malakal to Ethiopia along the Sobat Corridor. According to these </w:t>
      </w:r>
      <w:r w:rsidRPr="008A6ECC">
        <w:rPr>
          <w:sz w:val="22"/>
          <w:szCs w:val="22"/>
        </w:rPr>
        <w:t>source</w:t>
      </w:r>
      <w:r w:rsidRPr="008A6ECC">
        <w:rPr>
          <w:sz w:val="22"/>
          <w:szCs w:val="22"/>
        </w:rPr>
        <w:t>s, the group</w:t>
      </w:r>
      <w:r w:rsidRPr="008A6ECC">
        <w:rPr>
          <w:sz w:val="22"/>
          <w:szCs w:val="22"/>
        </w:rPr>
        <w:t xml:space="preserve"> of pilots</w:t>
      </w:r>
      <w:r w:rsidRPr="008A6ECC">
        <w:rPr>
          <w:sz w:val="22"/>
          <w:szCs w:val="22"/>
        </w:rPr>
        <w:t xml:space="preserve"> w</w:t>
      </w:r>
      <w:r w:rsidRPr="008A6ECC">
        <w:rPr>
          <w:sz w:val="22"/>
          <w:szCs w:val="22"/>
        </w:rPr>
        <w:t>ere</w:t>
      </w:r>
      <w:r w:rsidRPr="008A6ECC">
        <w:rPr>
          <w:sz w:val="22"/>
          <w:szCs w:val="22"/>
        </w:rPr>
        <w:t xml:space="preserve"> enroute to Ethiopia when they were </w:t>
      </w:r>
      <w:r w:rsidRPr="008A6ECC">
        <w:rPr>
          <w:sz w:val="22"/>
          <w:szCs w:val="22"/>
        </w:rPr>
        <w:t>commissioned</w:t>
      </w:r>
      <w:r w:rsidRPr="008A6ECC">
        <w:rPr>
          <w:sz w:val="22"/>
          <w:szCs w:val="22"/>
        </w:rPr>
        <w:t xml:space="preserve"> by the SSPDF</w:t>
      </w:r>
      <w:r w:rsidRPr="008A6ECC">
        <w:rPr>
          <w:sz w:val="22"/>
          <w:szCs w:val="22"/>
        </w:rPr>
        <w:t xml:space="preserve"> Division 2 Commander in Malakal</w:t>
      </w:r>
      <w:r w:rsidRPr="008A6ECC">
        <w:rPr>
          <w:sz w:val="22"/>
          <w:szCs w:val="22"/>
        </w:rPr>
        <w:t xml:space="preserve"> to transport goods</w:t>
      </w:r>
      <w:r w:rsidRPr="008A6ECC">
        <w:rPr>
          <w:sz w:val="22"/>
          <w:szCs w:val="22"/>
        </w:rPr>
        <w:t xml:space="preserve"> belonging to SSPDF</w:t>
      </w:r>
      <w:r w:rsidRPr="008A6ECC">
        <w:rPr>
          <w:sz w:val="22"/>
          <w:szCs w:val="22"/>
        </w:rPr>
        <w:t xml:space="preserve"> and soldiers </w:t>
      </w:r>
      <w:r w:rsidRPr="008A6ECC">
        <w:rPr>
          <w:sz w:val="22"/>
          <w:szCs w:val="22"/>
        </w:rPr>
        <w:t xml:space="preserve">to </w:t>
      </w:r>
      <w:r w:rsidRPr="008A6ECC">
        <w:rPr>
          <w:sz w:val="22"/>
          <w:szCs w:val="22"/>
        </w:rPr>
        <w:t>drop them in Gal-Achel</w:t>
      </w:r>
      <w:r w:rsidRPr="008A6ECC">
        <w:rPr>
          <w:sz w:val="22"/>
          <w:szCs w:val="22"/>
        </w:rPr>
        <w:t xml:space="preserve"> Payam in Baliet, before proceeding to Ethiopia. </w:t>
      </w:r>
      <w:r w:rsidRPr="008A6ECC">
        <w:rPr>
          <w:sz w:val="22"/>
          <w:szCs w:val="22"/>
        </w:rPr>
        <w:t>While at the lo</w:t>
      </w:r>
      <w:r w:rsidRPr="008A6ECC">
        <w:rPr>
          <w:sz w:val="22"/>
          <w:szCs w:val="22"/>
        </w:rPr>
        <w:t>cation, they</w:t>
      </w:r>
      <w:r w:rsidRPr="008A6ECC">
        <w:rPr>
          <w:sz w:val="22"/>
          <w:szCs w:val="22"/>
        </w:rPr>
        <w:t xml:space="preserve"> were killed by unidentified assailants.</w:t>
      </w:r>
    </w:p>
    <w:p w14:paraId="36FF99E7" w14:textId="48E9A7E7" w:rsidR="00132943" w:rsidRPr="008A6ECC" w:rsidRDefault="008A6ECC" w:rsidP="008A6ECC">
      <w:pPr>
        <w:pStyle w:val="NormalWeb"/>
        <w:jc w:val="both"/>
        <w:rPr>
          <w:i/>
          <w:iCs/>
          <w:sz w:val="22"/>
          <w:szCs w:val="22"/>
        </w:rPr>
      </w:pPr>
      <w:r w:rsidRPr="008A6ECC">
        <w:rPr>
          <w:i/>
          <w:iCs/>
          <w:sz w:val="22"/>
          <w:szCs w:val="22"/>
        </w:rPr>
        <w:t xml:space="preserve">Comment: </w:t>
      </w:r>
      <w:r w:rsidRPr="008A6ECC">
        <w:rPr>
          <w:i/>
          <w:iCs/>
          <w:sz w:val="22"/>
          <w:szCs w:val="22"/>
        </w:rPr>
        <w:t>HRD will continue to monitor and verify the incident and engage with sources to help establish responsibility for the killings.</w:t>
      </w: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221CF79D" w:rsidR="00DB713E" w:rsidRPr="00B23A44"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r w:rsidR="00B23A44">
        <w:rPr>
          <w:rFonts w:ascii="Times New Roman" w:eastAsia="Palatino Linotype" w:hAnsi="Times New Roman" w:cs="Times New Roman"/>
          <w:b/>
          <w:bCs/>
          <w:sz w:val="24"/>
          <w:szCs w:val="24"/>
        </w:rPr>
        <w:t>–</w:t>
      </w:r>
    </w:p>
    <w:p w14:paraId="22291F85" w14:textId="77777777" w:rsidR="00B23A44" w:rsidRDefault="00B23A44" w:rsidP="00B23A44">
      <w:pPr>
        <w:spacing w:after="0" w:line="240" w:lineRule="auto"/>
        <w:contextualSpacing/>
        <w:jc w:val="both"/>
        <w:rPr>
          <w:rFonts w:ascii="Times New Roman" w:eastAsia="Palatino Linotype" w:hAnsi="Times New Roman" w:cs="Times New Roman"/>
          <w:sz w:val="24"/>
          <w:szCs w:val="24"/>
        </w:rPr>
      </w:pPr>
    </w:p>
    <w:p w14:paraId="63540707" w14:textId="09840CEE" w:rsidR="00957137" w:rsidRPr="008A6ECC" w:rsidRDefault="00957137" w:rsidP="00957137">
      <w:pPr>
        <w:pStyle w:val="NormalWeb"/>
        <w:numPr>
          <w:ilvl w:val="0"/>
          <w:numId w:val="24"/>
        </w:numPr>
        <w:rPr>
          <w:b/>
          <w:bCs/>
          <w:i/>
          <w:iCs/>
        </w:rPr>
      </w:pPr>
      <w:r w:rsidRPr="008A6ECC">
        <w:rPr>
          <w:b/>
          <w:bCs/>
          <w:i/>
          <w:iCs/>
        </w:rPr>
        <w:t>Monitoring Visit to Police and Prison Authorities- Malakal Town, Upper Nile State</w:t>
      </w:r>
    </w:p>
    <w:p w14:paraId="5C500A18" w14:textId="510FB9B4" w:rsidR="00957137" w:rsidRPr="008A6ECC" w:rsidRDefault="00957137" w:rsidP="00957137">
      <w:pPr>
        <w:pStyle w:val="NormalWeb"/>
        <w:jc w:val="both"/>
        <w:rPr>
          <w:sz w:val="22"/>
          <w:szCs w:val="22"/>
        </w:rPr>
      </w:pPr>
      <w:r w:rsidRPr="008A6ECC">
        <w:rPr>
          <w:sz w:val="22"/>
          <w:szCs w:val="22"/>
        </w:rPr>
        <w:t>On 20 November, HRD and RoLSIS, accompanied by the Director of Legal Administration (DLA), conducted a monitoring visit to the State Police Commissioner and the State Prison Director. The objective of the visit was to provide an update on the outcomes of the Maban Mobile Court, which commenced on 24 October and concluded on 18 November 2025.</w:t>
      </w:r>
    </w:p>
    <w:p w14:paraId="05A0195B" w14:textId="77777777" w:rsidR="00957137" w:rsidRPr="008A6ECC" w:rsidRDefault="00957137" w:rsidP="00957137">
      <w:pPr>
        <w:spacing w:before="100" w:beforeAutospacing="1" w:after="100" w:afterAutospacing="1" w:line="240" w:lineRule="auto"/>
        <w:jc w:val="both"/>
        <w:rPr>
          <w:rFonts w:ascii="Times New Roman" w:eastAsia="Times New Roman" w:hAnsi="Times New Roman" w:cs="Times New Roman"/>
        </w:rPr>
      </w:pPr>
      <w:r w:rsidRPr="008A6ECC">
        <w:rPr>
          <w:rFonts w:ascii="Times New Roman" w:eastAsia="Times New Roman" w:hAnsi="Times New Roman" w:cs="Times New Roman"/>
        </w:rPr>
        <w:t>The delegation informed the senior officials that, out of the 63 cases assessed in March 2025 by the DLA and UNMISS, only 28 cases were adjudicated. These included matters related to rape, murder, and culpable homicide, resulting in the conviction of 23 individuals and the acquittal or dismissal of charges for 13 accused persons. In addition, 22 detainees were released after being found wrongfully incarcerated or having already served their sentences. Several accused had been held on remand for more than four years pending trial.</w:t>
      </w:r>
    </w:p>
    <w:p w14:paraId="69F97B58" w14:textId="16E3569B" w:rsidR="00957137" w:rsidRPr="008A6ECC" w:rsidRDefault="00957137" w:rsidP="00957137">
      <w:pPr>
        <w:spacing w:before="100" w:beforeAutospacing="1" w:after="100" w:afterAutospacing="1" w:line="240" w:lineRule="auto"/>
        <w:jc w:val="both"/>
        <w:rPr>
          <w:rFonts w:ascii="Times New Roman" w:eastAsia="Times New Roman" w:hAnsi="Times New Roman" w:cs="Times New Roman"/>
        </w:rPr>
      </w:pPr>
      <w:r w:rsidRPr="008A6ECC">
        <w:rPr>
          <w:rFonts w:ascii="Times New Roman" w:eastAsia="Times New Roman" w:hAnsi="Times New Roman" w:cs="Times New Roman"/>
        </w:rPr>
        <w:t xml:space="preserve">The Mobile Court also </w:t>
      </w:r>
      <w:r w:rsidR="008A6ECC" w:rsidRPr="008A6ECC">
        <w:rPr>
          <w:rFonts w:ascii="Times New Roman" w:eastAsia="Times New Roman" w:hAnsi="Times New Roman" w:cs="Times New Roman"/>
        </w:rPr>
        <w:t>made</w:t>
      </w:r>
      <w:r w:rsidRPr="008A6ECC">
        <w:rPr>
          <w:rFonts w:ascii="Times New Roman" w:eastAsia="Times New Roman" w:hAnsi="Times New Roman" w:cs="Times New Roman"/>
        </w:rPr>
        <w:t xml:space="preserve"> decisions on eight SGBV cases, resulting in six convictions. Nine cases involved members of the security forces, leading to the conviction of eight SSPDF officers, including one officer convicted of rape. All convicted officers are to be dismissed from military service.</w:t>
      </w:r>
    </w:p>
    <w:p w14:paraId="22FDBD28" w14:textId="77777777" w:rsidR="00957137" w:rsidRPr="008A6ECC" w:rsidRDefault="00957137" w:rsidP="00957137">
      <w:pPr>
        <w:spacing w:before="100" w:beforeAutospacing="1" w:after="100" w:afterAutospacing="1" w:line="240" w:lineRule="auto"/>
        <w:jc w:val="both"/>
        <w:rPr>
          <w:rFonts w:ascii="Times New Roman" w:eastAsia="Times New Roman" w:hAnsi="Times New Roman" w:cs="Times New Roman"/>
        </w:rPr>
      </w:pPr>
      <w:r w:rsidRPr="008A6ECC">
        <w:rPr>
          <w:rFonts w:ascii="Times New Roman" w:eastAsia="Times New Roman" w:hAnsi="Times New Roman" w:cs="Times New Roman"/>
        </w:rPr>
        <w:t>A total of 35 criminal cases were not heard due to the alleged escape of accused persons or the unavailability of case files (“case diaries”) between the police, the court, and crime investigators. Furthermore, prison authorities in Bunj provided a list of 18 detainees who allegedly escaped from custody; however, no internal investigation had been conducted to determine the cause of the escapes, nor were any police cases opened against the escapees. Most of the cases in which escapes were reported involve SGBV-related charges. The team also established that three inmates died in Bunj Prison before being presented before a competent court. These recurrent incidents of escapes and deaths in custody pose significant concerns for the community and underscore the need for accountability from both the crime investigation unit and the Prosecution Attorney’s Office.</w:t>
      </w:r>
    </w:p>
    <w:p w14:paraId="7B4E675E" w14:textId="77777777" w:rsidR="00957137" w:rsidRPr="008A6ECC" w:rsidRDefault="00957137" w:rsidP="00957137">
      <w:pPr>
        <w:spacing w:before="100" w:beforeAutospacing="1" w:after="100" w:afterAutospacing="1" w:line="240" w:lineRule="auto"/>
        <w:jc w:val="both"/>
        <w:rPr>
          <w:rFonts w:ascii="Times New Roman" w:eastAsia="Times New Roman" w:hAnsi="Times New Roman" w:cs="Times New Roman"/>
        </w:rPr>
      </w:pPr>
      <w:r w:rsidRPr="008A6ECC">
        <w:rPr>
          <w:rFonts w:ascii="Times New Roman" w:eastAsia="Times New Roman" w:hAnsi="Times New Roman" w:cs="Times New Roman"/>
        </w:rPr>
        <w:t xml:space="preserve">In response, the Police Commissioner immediately contacted the Maban Police Director, instructing him to submit a final report on the Mobile Court, outlining challenges, concerns, and recommended actions. He further directed the segregation of missing cases by type, including murder and SGBV. The Commissioner reiterated concerns regarding the limited investigative capacity, which continues to result in the release of accused persons due to insufficient evidence in court. It was noted that, in 2024 and 2025, approximately 150 crime investigators received </w:t>
      </w:r>
      <w:r w:rsidRPr="008A6ECC">
        <w:rPr>
          <w:rFonts w:ascii="Times New Roman" w:eastAsia="Times New Roman" w:hAnsi="Times New Roman" w:cs="Times New Roman"/>
        </w:rPr>
        <w:lastRenderedPageBreak/>
        <w:t>UNMISS-supported training in Malakal on investigative skills and techniques before their deployment across the state.</w:t>
      </w:r>
    </w:p>
    <w:p w14:paraId="09E07810" w14:textId="33910AE9" w:rsidR="00957137" w:rsidRPr="008A6ECC" w:rsidRDefault="00957137" w:rsidP="00957137">
      <w:pPr>
        <w:spacing w:before="100" w:beforeAutospacing="1" w:after="100" w:afterAutospacing="1" w:line="240" w:lineRule="auto"/>
        <w:jc w:val="both"/>
        <w:rPr>
          <w:rFonts w:ascii="Times New Roman" w:eastAsia="Times New Roman" w:hAnsi="Times New Roman" w:cs="Times New Roman"/>
        </w:rPr>
      </w:pPr>
      <w:r w:rsidRPr="008A6ECC">
        <w:rPr>
          <w:rFonts w:ascii="Times New Roman" w:eastAsia="Times New Roman" w:hAnsi="Times New Roman" w:cs="Times New Roman"/>
        </w:rPr>
        <w:t xml:space="preserve">The State Prison Director acknowledged receiving the report regarding the three detainee deaths but denied any knowledge of the 18 reported escapees from Bunj Prison. The UNMISS team provided him with a full list of convicted inmates and discussed the possibility of relocating those serving sentences </w:t>
      </w:r>
      <w:r w:rsidR="008A6ECC" w:rsidRPr="008A6ECC">
        <w:rPr>
          <w:rFonts w:ascii="Times New Roman" w:eastAsia="Times New Roman" w:hAnsi="Times New Roman" w:cs="Times New Roman"/>
        </w:rPr>
        <w:t>for</w:t>
      </w:r>
      <w:r w:rsidRPr="008A6ECC">
        <w:rPr>
          <w:rFonts w:ascii="Times New Roman" w:eastAsia="Times New Roman" w:hAnsi="Times New Roman" w:cs="Times New Roman"/>
        </w:rPr>
        <w:t xml:space="preserve"> more than five years, citing safety, protection, and the need to reduce escape risks. Bunj Prison currently lacks essential infrastructure, including a perimeter fence and adequate detention facilities. </w:t>
      </w:r>
    </w:p>
    <w:p w14:paraId="30A723F8" w14:textId="33EBE1B5" w:rsidR="00957137" w:rsidRPr="008A6ECC" w:rsidRDefault="00957137" w:rsidP="00957137">
      <w:pPr>
        <w:spacing w:before="100" w:beforeAutospacing="1" w:after="100" w:afterAutospacing="1" w:line="240" w:lineRule="auto"/>
        <w:jc w:val="both"/>
        <w:rPr>
          <w:rFonts w:ascii="Times New Roman" w:eastAsia="Times New Roman" w:hAnsi="Times New Roman" w:cs="Times New Roman"/>
        </w:rPr>
      </w:pPr>
      <w:r w:rsidRPr="008A6ECC">
        <w:rPr>
          <w:rFonts w:ascii="Times New Roman" w:eastAsia="Times New Roman" w:hAnsi="Times New Roman" w:cs="Times New Roman"/>
        </w:rPr>
        <w:t>The DLA urged both Police and Prison leadership to adopt corrective measures to strengthen investigative processes, enhance respect for human rights, and promote an enabling environment for peace, order, and stability in the area.</w:t>
      </w:r>
    </w:p>
    <w:p w14:paraId="171BA31C" w14:textId="77777777" w:rsidR="00957137" w:rsidRPr="008A6ECC" w:rsidRDefault="00957137" w:rsidP="00957137">
      <w:pPr>
        <w:spacing w:after="0" w:line="240" w:lineRule="auto"/>
        <w:contextualSpacing/>
        <w:jc w:val="both"/>
        <w:rPr>
          <w:rFonts w:ascii="Times New Roman" w:eastAsia="Palatino Linotype" w:hAnsi="Times New Roman" w:cs="Times New Roman"/>
          <w:kern w:val="2"/>
          <w14:ligatures w14:val="standardContextual"/>
        </w:rPr>
      </w:pPr>
      <w:r w:rsidRPr="008A6ECC">
        <w:rPr>
          <w:rFonts w:ascii="Times New Roman" w:eastAsia="Palatino Linotype" w:hAnsi="Times New Roman" w:cs="Times New Roman"/>
          <w:kern w:val="2"/>
          <w14:ligatures w14:val="standardContextual"/>
        </w:rPr>
        <w:t>HRD identified significant progress achieved through the Mobile Court but also highlighted serious structural weaknesses in policing, investigations, and detention management. HRD and RoLSIS reaffirm their commitment to supporting authorities in strengthening accountability, enhancing justice delivery, and safeguarding human rights in Upper Nile State. UNMISS appreciates the continued cooperation of government counterparts toward peace, stability, and rule of law in the region.</w:t>
      </w:r>
    </w:p>
    <w:p w14:paraId="059ED360" w14:textId="77777777" w:rsidR="00B23A44" w:rsidRPr="008A6ECC" w:rsidRDefault="00B23A44" w:rsidP="00B23A44">
      <w:pPr>
        <w:spacing w:after="0" w:line="240" w:lineRule="auto"/>
        <w:contextualSpacing/>
        <w:jc w:val="both"/>
        <w:rPr>
          <w:rFonts w:ascii="Times New Roman" w:eastAsia="Palatino Linotype" w:hAnsi="Times New Roman" w:cs="Times New Roman"/>
        </w:rPr>
      </w:pPr>
    </w:p>
    <w:p w14:paraId="34223DFE" w14:textId="003D3CAD" w:rsidR="0075388B" w:rsidRPr="008A6ECC" w:rsidRDefault="0075388B" w:rsidP="0075388B">
      <w:pPr>
        <w:pStyle w:val="ListParagraph"/>
        <w:numPr>
          <w:ilvl w:val="0"/>
          <w:numId w:val="24"/>
        </w:numPr>
        <w:spacing w:after="160" w:line="278" w:lineRule="auto"/>
        <w:jc w:val="both"/>
        <w:rPr>
          <w:rFonts w:ascii="Times New Roman" w:eastAsia="Aptos" w:hAnsi="Times New Roman" w:cs="Times New Roman"/>
          <w:b/>
          <w:bCs/>
          <w:i/>
          <w:iCs/>
          <w:kern w:val="2"/>
          <w14:ligatures w14:val="standardContextual"/>
        </w:rPr>
      </w:pPr>
      <w:r w:rsidRPr="008A6ECC">
        <w:rPr>
          <w:rFonts w:ascii="Times New Roman" w:eastAsia="Aptos" w:hAnsi="Times New Roman" w:cs="Times New Roman"/>
          <w:b/>
          <w:bCs/>
          <w:i/>
          <w:iCs/>
          <w:kern w:val="2"/>
          <w14:ligatures w14:val="standardContextual"/>
        </w:rPr>
        <w:t xml:space="preserve">HRD Monitoring of Inmate Welfare and Detention Conditions – Malakal Central Prison </w:t>
      </w:r>
    </w:p>
    <w:p w14:paraId="14FFA1F3" w14:textId="72F174FF" w:rsidR="0029067B" w:rsidRPr="008A6ECC" w:rsidRDefault="0029067B" w:rsidP="0029067B">
      <w:pPr>
        <w:spacing w:after="160" w:line="278" w:lineRule="auto"/>
        <w:jc w:val="both"/>
        <w:rPr>
          <w:rFonts w:ascii="Times New Roman" w:eastAsia="Aptos" w:hAnsi="Times New Roman" w:cs="Times New Roman"/>
          <w:kern w:val="2"/>
          <w14:ligatures w14:val="standardContextual"/>
        </w:rPr>
      </w:pPr>
      <w:r w:rsidRPr="008A6ECC">
        <w:rPr>
          <w:rFonts w:ascii="Times New Roman" w:eastAsia="Aptos" w:hAnsi="Times New Roman" w:cs="Times New Roman"/>
          <w:kern w:val="2"/>
          <w14:ligatures w14:val="standardContextual"/>
        </w:rPr>
        <w:t xml:space="preserve">Subsequently, HRD conducted a monitoring visit to Malakal Central Prison (MCP) and met with the Prison Director in his office. The purpose of the visit was to assess the conditions and welfare of inmates and to obtain updated detention figures. </w:t>
      </w:r>
    </w:p>
    <w:p w14:paraId="1D7CBD4B" w14:textId="008CDD88" w:rsidR="0029067B" w:rsidRPr="008A6ECC" w:rsidRDefault="0029067B" w:rsidP="0029067B">
      <w:pPr>
        <w:spacing w:after="160" w:line="278" w:lineRule="auto"/>
        <w:jc w:val="both"/>
        <w:rPr>
          <w:rFonts w:ascii="Times New Roman" w:eastAsia="Aptos" w:hAnsi="Times New Roman" w:cs="Times New Roman"/>
          <w:kern w:val="2"/>
          <w14:ligatures w14:val="standardContextual"/>
        </w:rPr>
      </w:pPr>
      <w:r w:rsidRPr="008A6ECC">
        <w:rPr>
          <w:rFonts w:ascii="Times New Roman" w:eastAsia="Aptos" w:hAnsi="Times New Roman" w:cs="Times New Roman"/>
          <w:kern w:val="2"/>
          <w14:ligatures w14:val="standardContextual"/>
        </w:rPr>
        <w:t>As of 20 November, the Director reported that MCP is hosting a total of 103 inmates, including 67 convicts</w:t>
      </w:r>
      <w:r w:rsidR="0075388B" w:rsidRPr="008A6ECC">
        <w:rPr>
          <w:rFonts w:ascii="Times New Roman" w:eastAsia="Aptos" w:hAnsi="Times New Roman" w:cs="Times New Roman"/>
          <w:kern w:val="2"/>
          <w14:ligatures w14:val="standardContextual"/>
        </w:rPr>
        <w:t>. A</w:t>
      </w:r>
      <w:r w:rsidRPr="008A6ECC">
        <w:rPr>
          <w:rFonts w:ascii="Times New Roman" w:eastAsia="Aptos" w:hAnsi="Times New Roman" w:cs="Times New Roman"/>
          <w:kern w:val="2"/>
          <w14:ligatures w14:val="standardContextual"/>
        </w:rPr>
        <w:t xml:space="preserve">mong them four </w:t>
      </w:r>
      <w:r w:rsidR="0075388B" w:rsidRPr="008A6ECC">
        <w:rPr>
          <w:rFonts w:ascii="Times New Roman" w:eastAsia="Aptos" w:hAnsi="Times New Roman" w:cs="Times New Roman"/>
          <w:kern w:val="2"/>
          <w14:ligatures w14:val="standardContextual"/>
        </w:rPr>
        <w:t xml:space="preserve">(4) </w:t>
      </w:r>
      <w:r w:rsidRPr="008A6ECC">
        <w:rPr>
          <w:rFonts w:ascii="Times New Roman" w:eastAsia="Aptos" w:hAnsi="Times New Roman" w:cs="Times New Roman"/>
          <w:kern w:val="2"/>
          <w14:ligatures w14:val="standardContextual"/>
        </w:rPr>
        <w:t xml:space="preserve">male juveniles and one </w:t>
      </w:r>
      <w:r w:rsidR="0075388B" w:rsidRPr="008A6ECC">
        <w:rPr>
          <w:rFonts w:ascii="Times New Roman" w:eastAsia="Aptos" w:hAnsi="Times New Roman" w:cs="Times New Roman"/>
          <w:kern w:val="2"/>
          <w14:ligatures w14:val="standardContextual"/>
        </w:rPr>
        <w:t xml:space="preserve">(1) </w:t>
      </w:r>
      <w:r w:rsidRPr="008A6ECC">
        <w:rPr>
          <w:rFonts w:ascii="Times New Roman" w:eastAsia="Aptos" w:hAnsi="Times New Roman" w:cs="Times New Roman"/>
          <w:kern w:val="2"/>
          <w14:ligatures w14:val="standardContextual"/>
        </w:rPr>
        <w:t>adult female</w:t>
      </w:r>
      <w:r w:rsidR="0075388B" w:rsidRPr="008A6ECC">
        <w:rPr>
          <w:rFonts w:ascii="Times New Roman" w:eastAsia="Aptos" w:hAnsi="Times New Roman" w:cs="Times New Roman"/>
          <w:kern w:val="2"/>
          <w14:ligatures w14:val="standardContextual"/>
        </w:rPr>
        <w:t xml:space="preserve"> </w:t>
      </w:r>
      <w:r w:rsidRPr="008A6ECC">
        <w:rPr>
          <w:rFonts w:ascii="Times New Roman" w:eastAsia="Aptos" w:hAnsi="Times New Roman" w:cs="Times New Roman"/>
          <w:kern w:val="2"/>
          <w14:ligatures w14:val="standardContextual"/>
        </w:rPr>
        <w:t xml:space="preserve">and 34 remands. Of the remands, eight </w:t>
      </w:r>
      <w:r w:rsidR="0075388B" w:rsidRPr="008A6ECC">
        <w:rPr>
          <w:rFonts w:ascii="Times New Roman" w:eastAsia="Aptos" w:hAnsi="Times New Roman" w:cs="Times New Roman"/>
          <w:kern w:val="2"/>
          <w14:ligatures w14:val="standardContextual"/>
        </w:rPr>
        <w:t xml:space="preserve">(8) </w:t>
      </w:r>
      <w:r w:rsidRPr="008A6ECC">
        <w:rPr>
          <w:rFonts w:ascii="Times New Roman" w:eastAsia="Aptos" w:hAnsi="Times New Roman" w:cs="Times New Roman"/>
          <w:kern w:val="2"/>
          <w14:ligatures w14:val="standardContextual"/>
        </w:rPr>
        <w:t>remain under police investigation while 26 are currently undergoing trial, including seven</w:t>
      </w:r>
      <w:r w:rsidR="0075388B" w:rsidRPr="008A6ECC">
        <w:rPr>
          <w:rFonts w:ascii="Times New Roman" w:eastAsia="Aptos" w:hAnsi="Times New Roman" w:cs="Times New Roman"/>
          <w:kern w:val="2"/>
          <w14:ligatures w14:val="standardContextual"/>
        </w:rPr>
        <w:t xml:space="preserve"> (7)</w:t>
      </w:r>
      <w:r w:rsidRPr="008A6ECC">
        <w:rPr>
          <w:rFonts w:ascii="Times New Roman" w:eastAsia="Aptos" w:hAnsi="Times New Roman" w:cs="Times New Roman"/>
          <w:kern w:val="2"/>
          <w14:ligatures w14:val="standardContextual"/>
        </w:rPr>
        <w:t xml:space="preserve"> facing capital charges (murder and rape) and </w:t>
      </w:r>
      <w:r w:rsidR="0075388B" w:rsidRPr="008A6ECC">
        <w:rPr>
          <w:rFonts w:ascii="Times New Roman" w:eastAsia="Aptos" w:hAnsi="Times New Roman" w:cs="Times New Roman"/>
          <w:kern w:val="2"/>
          <w14:ligatures w14:val="standardContextual"/>
        </w:rPr>
        <w:t>nineteen (</w:t>
      </w:r>
      <w:r w:rsidRPr="008A6ECC">
        <w:rPr>
          <w:rFonts w:ascii="Times New Roman" w:eastAsia="Aptos" w:hAnsi="Times New Roman" w:cs="Times New Roman"/>
          <w:kern w:val="2"/>
          <w14:ligatures w14:val="standardContextual"/>
        </w:rPr>
        <w:t>19</w:t>
      </w:r>
      <w:r w:rsidR="0075388B" w:rsidRPr="008A6ECC">
        <w:rPr>
          <w:rFonts w:ascii="Times New Roman" w:eastAsia="Aptos" w:hAnsi="Times New Roman" w:cs="Times New Roman"/>
          <w:kern w:val="2"/>
          <w14:ligatures w14:val="standardContextual"/>
        </w:rPr>
        <w:t>)</w:t>
      </w:r>
      <w:r w:rsidRPr="008A6ECC">
        <w:rPr>
          <w:rFonts w:ascii="Times New Roman" w:eastAsia="Aptos" w:hAnsi="Times New Roman" w:cs="Times New Roman"/>
          <w:kern w:val="2"/>
          <w14:ligatures w14:val="standardContextual"/>
        </w:rPr>
        <w:t xml:space="preserve"> others accused of various offences such as theft and assault.</w:t>
      </w:r>
    </w:p>
    <w:p w14:paraId="2F33B662" w14:textId="2F6C0DF4" w:rsidR="0029067B" w:rsidRPr="008A6ECC" w:rsidRDefault="0029067B" w:rsidP="008A6ECC">
      <w:pPr>
        <w:spacing w:after="160" w:line="278" w:lineRule="auto"/>
        <w:jc w:val="both"/>
        <w:rPr>
          <w:rFonts w:ascii="Times New Roman" w:eastAsia="Aptos" w:hAnsi="Times New Roman" w:cs="Times New Roman"/>
          <w:kern w:val="2"/>
          <w14:ligatures w14:val="standardContextual"/>
        </w:rPr>
      </w:pPr>
      <w:r w:rsidRPr="008A6ECC">
        <w:rPr>
          <w:rFonts w:ascii="Times New Roman" w:eastAsia="Aptos" w:hAnsi="Times New Roman" w:cs="Times New Roman"/>
          <w:kern w:val="2"/>
          <w14:ligatures w14:val="standardContextual"/>
        </w:rPr>
        <w:t>The Director informed HRD that inmates are experiencing severe and deteriorating conditions, noting that they had not received food for more than four consecutive days. He warned that the situation may escalate if the lack of food persists. The matter has reportedly been raised with the State Prison Director, who has in turn informed senior State authorities, including the Governor, as well as the Prison Headquarters in Juba. The Director appealed to UNMISS to advocate for urgent intervention to address the worsening conditions and to use its good offices to help prevent potential negative outcomes.</w:t>
      </w: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727FE5D2" w14:textId="54A4EF74" w:rsidR="00722BB3" w:rsidRDefault="00F64818" w:rsidP="00722BB3">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r w:rsidR="00B23A44">
        <w:rPr>
          <w:rFonts w:ascii="Times New Roman" w:eastAsia="Palatino Linotype" w:hAnsi="Times New Roman" w:cs="Times New Roman"/>
          <w:b/>
          <w:sz w:val="24"/>
          <w:szCs w:val="24"/>
        </w:rPr>
        <w:t xml:space="preserve"> </w:t>
      </w:r>
      <w:r w:rsidR="00B23A44" w:rsidRPr="00B23A44">
        <w:rPr>
          <w:rFonts w:ascii="Times New Roman" w:eastAsia="Palatino Linotype" w:hAnsi="Times New Roman" w:cs="Times New Roman"/>
          <w:bCs/>
          <w:i/>
          <w:iCs/>
          <w:sz w:val="24"/>
          <w:szCs w:val="24"/>
        </w:rPr>
        <w:t>NSTR</w:t>
      </w:r>
    </w:p>
    <w:p w14:paraId="01FE0596" w14:textId="77777777" w:rsidR="00B23A44" w:rsidRPr="00B23A44" w:rsidRDefault="00B23A44" w:rsidP="00B23A44">
      <w:pPr>
        <w:spacing w:after="0" w:line="240" w:lineRule="auto"/>
        <w:contextualSpacing/>
        <w:jc w:val="both"/>
        <w:rPr>
          <w:rFonts w:ascii="Times New Roman" w:eastAsia="Palatino Linotype" w:hAnsi="Times New Roman" w:cs="Times New Roman"/>
          <w:b/>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CF79" w14:textId="77777777" w:rsidR="00FF0B9B" w:rsidRDefault="00FF0B9B" w:rsidP="00182875">
      <w:pPr>
        <w:spacing w:after="0" w:line="240" w:lineRule="auto"/>
      </w:pPr>
      <w:r>
        <w:separator/>
      </w:r>
    </w:p>
  </w:endnote>
  <w:endnote w:type="continuationSeparator" w:id="0">
    <w:p w14:paraId="43D6F998" w14:textId="77777777" w:rsidR="00FF0B9B" w:rsidRDefault="00FF0B9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0332" w14:textId="77777777" w:rsidR="00FF0B9B" w:rsidRDefault="00FF0B9B" w:rsidP="00182875">
      <w:pPr>
        <w:spacing w:after="0" w:line="240" w:lineRule="auto"/>
      </w:pPr>
      <w:r>
        <w:separator/>
      </w:r>
    </w:p>
  </w:footnote>
  <w:footnote w:type="continuationSeparator" w:id="0">
    <w:p w14:paraId="34A9AFD3" w14:textId="77777777" w:rsidR="00FF0B9B" w:rsidRDefault="00FF0B9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837A3"/>
    <w:rsid w:val="00086976"/>
    <w:rsid w:val="000923D9"/>
    <w:rsid w:val="000933EC"/>
    <w:rsid w:val="000952CD"/>
    <w:rsid w:val="0009558D"/>
    <w:rsid w:val="00097CC2"/>
    <w:rsid w:val="000A061C"/>
    <w:rsid w:val="000A39F8"/>
    <w:rsid w:val="000A48FF"/>
    <w:rsid w:val="000A7284"/>
    <w:rsid w:val="000B0008"/>
    <w:rsid w:val="000B41D6"/>
    <w:rsid w:val="000B5487"/>
    <w:rsid w:val="000C07AF"/>
    <w:rsid w:val="000C1AFD"/>
    <w:rsid w:val="000C21B4"/>
    <w:rsid w:val="000C366D"/>
    <w:rsid w:val="000C3679"/>
    <w:rsid w:val="000D2631"/>
    <w:rsid w:val="000D2E38"/>
    <w:rsid w:val="000D4781"/>
    <w:rsid w:val="000E1152"/>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067B"/>
    <w:rsid w:val="00292423"/>
    <w:rsid w:val="00292EB7"/>
    <w:rsid w:val="002947F7"/>
    <w:rsid w:val="00295289"/>
    <w:rsid w:val="00296E0F"/>
    <w:rsid w:val="00297637"/>
    <w:rsid w:val="002A1A65"/>
    <w:rsid w:val="002B3397"/>
    <w:rsid w:val="002B6414"/>
    <w:rsid w:val="002B68AB"/>
    <w:rsid w:val="002B7499"/>
    <w:rsid w:val="002C0EDC"/>
    <w:rsid w:val="002C29D6"/>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560"/>
    <w:rsid w:val="005D0786"/>
    <w:rsid w:val="005D295A"/>
    <w:rsid w:val="005D5676"/>
    <w:rsid w:val="005D7E94"/>
    <w:rsid w:val="005E352D"/>
    <w:rsid w:val="005E4CE4"/>
    <w:rsid w:val="005E4E23"/>
    <w:rsid w:val="005E54F0"/>
    <w:rsid w:val="005E5FF9"/>
    <w:rsid w:val="005E63B6"/>
    <w:rsid w:val="005F2E77"/>
    <w:rsid w:val="005F6858"/>
    <w:rsid w:val="0060026C"/>
    <w:rsid w:val="00604E2B"/>
    <w:rsid w:val="00606F5F"/>
    <w:rsid w:val="00610E24"/>
    <w:rsid w:val="0061364F"/>
    <w:rsid w:val="00615C1C"/>
    <w:rsid w:val="006209AF"/>
    <w:rsid w:val="00621169"/>
    <w:rsid w:val="0062145A"/>
    <w:rsid w:val="00621E7D"/>
    <w:rsid w:val="00625908"/>
    <w:rsid w:val="006423BE"/>
    <w:rsid w:val="00645D0B"/>
    <w:rsid w:val="00655E91"/>
    <w:rsid w:val="00657E07"/>
    <w:rsid w:val="00660788"/>
    <w:rsid w:val="00672AB0"/>
    <w:rsid w:val="0067536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2BB3"/>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5388B"/>
    <w:rsid w:val="00766E67"/>
    <w:rsid w:val="00774B9A"/>
    <w:rsid w:val="00775836"/>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5735"/>
    <w:rsid w:val="007C77B5"/>
    <w:rsid w:val="007D35D2"/>
    <w:rsid w:val="007E3351"/>
    <w:rsid w:val="007E412C"/>
    <w:rsid w:val="007F0403"/>
    <w:rsid w:val="0080427D"/>
    <w:rsid w:val="00804A13"/>
    <w:rsid w:val="00810A55"/>
    <w:rsid w:val="008144B7"/>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6ECC"/>
    <w:rsid w:val="008A732A"/>
    <w:rsid w:val="008A7FC7"/>
    <w:rsid w:val="008B1C06"/>
    <w:rsid w:val="008B1E64"/>
    <w:rsid w:val="008B2F18"/>
    <w:rsid w:val="008B5842"/>
    <w:rsid w:val="008B6E5D"/>
    <w:rsid w:val="008D15E6"/>
    <w:rsid w:val="008D3355"/>
    <w:rsid w:val="008D469A"/>
    <w:rsid w:val="008E5E59"/>
    <w:rsid w:val="008E611C"/>
    <w:rsid w:val="008F25FF"/>
    <w:rsid w:val="008F453C"/>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57137"/>
    <w:rsid w:val="00960EFA"/>
    <w:rsid w:val="00961119"/>
    <w:rsid w:val="00962F80"/>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10D3"/>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B6C55"/>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3A44"/>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2D4A"/>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38C6"/>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5FC0"/>
    <w:rsid w:val="00E9704C"/>
    <w:rsid w:val="00EA22C2"/>
    <w:rsid w:val="00EB140F"/>
    <w:rsid w:val="00EB2A79"/>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5884"/>
    <w:rsid w:val="00FC03B3"/>
    <w:rsid w:val="00FC51A4"/>
    <w:rsid w:val="00FD5A7F"/>
    <w:rsid w:val="00FD6505"/>
    <w:rsid w:val="00FD6556"/>
    <w:rsid w:val="00FE330D"/>
    <w:rsid w:val="00FE59F9"/>
    <w:rsid w:val="00FE5EC5"/>
    <w:rsid w:val="00FF0B9B"/>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137"/>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21504374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3</cp:revision>
  <dcterms:created xsi:type="dcterms:W3CDTF">2025-11-20T16:16:00Z</dcterms:created>
  <dcterms:modified xsi:type="dcterms:W3CDTF">2025-11-20T16:19:00Z</dcterms:modified>
</cp:coreProperties>
</file>