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29.75pt" o:ole="" o:preferrelative="t" stroked="f">
            <v:imagedata r:id="rId8" o:title=""/>
          </v:rect>
          <o:OLEObject Type="Embed" ProgID="StaticMetafile" ShapeID="rectole0000000000" DrawAspect="Content" ObjectID="_1825681435"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r w:rsidRPr="00FE5EC5">
        <w:rPr>
          <w:rFonts w:ascii="Times New Roman" w:eastAsia="Times New Roman" w:hAnsi="Times New Roman" w:cs="Times New Roman" w:hint="cs"/>
          <w:b/>
          <w:position w:val="-4"/>
          <w:sz w:val="24"/>
          <w:szCs w:val="24"/>
          <w:rtl/>
        </w:rPr>
        <w:t>ألأمم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34A3F30A"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12493">
        <w:rPr>
          <w:rFonts w:ascii="Times New Roman" w:eastAsia="Times New Roman" w:hAnsi="Times New Roman" w:cs="Times New Roman"/>
          <w:b/>
          <w:i/>
          <w:iCs/>
          <w:color w:val="4472C4" w:themeColor="accent1"/>
          <w:sz w:val="24"/>
          <w:szCs w:val="24"/>
        </w:rPr>
        <w:t>2</w:t>
      </w:r>
      <w:r w:rsidR="00140973">
        <w:rPr>
          <w:rFonts w:ascii="Times New Roman" w:eastAsia="Times New Roman" w:hAnsi="Times New Roman" w:cs="Times New Roman"/>
          <w:b/>
          <w:i/>
          <w:iCs/>
          <w:color w:val="4472C4" w:themeColor="accent1"/>
          <w:sz w:val="24"/>
          <w:szCs w:val="24"/>
        </w:rPr>
        <w:t>6</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20F90E11" w14:textId="2AAC3C39" w:rsidR="00DD6AE8" w:rsidRPr="00DD6AE8" w:rsidRDefault="00DD6AE8" w:rsidP="00DD6AE8">
      <w:pPr>
        <w:pStyle w:val="ListParagraph"/>
        <w:numPr>
          <w:ilvl w:val="0"/>
          <w:numId w:val="24"/>
        </w:numPr>
        <w:rPr>
          <w:rFonts w:asciiTheme="majorBidi" w:hAnsiTheme="majorBidi" w:cstheme="majorBidi"/>
          <w:i/>
          <w:iCs/>
          <w:sz w:val="24"/>
          <w:szCs w:val="24"/>
        </w:rPr>
      </w:pPr>
      <w:bookmarkStart w:id="1" w:name="_Hlk213773457"/>
      <w:r>
        <w:rPr>
          <w:rFonts w:asciiTheme="majorBidi" w:hAnsiTheme="majorBidi" w:cstheme="majorBidi"/>
          <w:i/>
          <w:iCs/>
          <w:sz w:val="24"/>
          <w:szCs w:val="24"/>
        </w:rPr>
        <w:t xml:space="preserve">  </w:t>
      </w:r>
      <w:r w:rsidRPr="00DD6AE8">
        <w:rPr>
          <w:rFonts w:asciiTheme="majorBidi" w:hAnsiTheme="majorBidi" w:cstheme="majorBidi"/>
          <w:i/>
          <w:iCs/>
          <w:sz w:val="24"/>
          <w:szCs w:val="24"/>
        </w:rPr>
        <w:t>Reported Killing in Dangershufu Market – Malakal Town</w:t>
      </w:r>
    </w:p>
    <w:p w14:paraId="27309685" w14:textId="2A62879B" w:rsidR="00495141" w:rsidRDefault="00A97454" w:rsidP="0080561A">
      <w:pPr>
        <w:pStyle w:val="ListParagraph"/>
        <w:numPr>
          <w:ilvl w:val="0"/>
          <w:numId w:val="24"/>
        </w:numPr>
        <w:spacing w:after="0" w:line="240" w:lineRule="auto"/>
        <w:jc w:val="both"/>
        <w:rPr>
          <w:rFonts w:asciiTheme="majorBidi" w:hAnsiTheme="majorBidi" w:cstheme="majorBidi"/>
          <w:i/>
          <w:iCs/>
          <w:sz w:val="24"/>
          <w:szCs w:val="24"/>
        </w:rPr>
      </w:pPr>
      <w:r w:rsidRPr="00375112">
        <w:rPr>
          <w:rFonts w:asciiTheme="majorBidi" w:hAnsiTheme="majorBidi" w:cstheme="majorBidi"/>
          <w:i/>
          <w:iCs/>
          <w:sz w:val="24"/>
          <w:szCs w:val="24"/>
        </w:rPr>
        <w:t xml:space="preserve"> </w:t>
      </w:r>
      <w:bookmarkStart w:id="2" w:name="_Hlk215063312"/>
      <w:bookmarkEnd w:id="1"/>
      <w:r w:rsidR="00140973" w:rsidRPr="00375112">
        <w:rPr>
          <w:rFonts w:asciiTheme="majorBidi" w:hAnsiTheme="majorBidi" w:cstheme="majorBidi"/>
          <w:i/>
          <w:iCs/>
          <w:sz w:val="24"/>
          <w:szCs w:val="24"/>
        </w:rPr>
        <w:t xml:space="preserve">HRD </w:t>
      </w:r>
      <w:bookmarkStart w:id="3" w:name="_Hlk215060546"/>
      <w:r w:rsidR="00140973" w:rsidRPr="00375112">
        <w:rPr>
          <w:rFonts w:asciiTheme="majorBidi" w:hAnsiTheme="majorBidi" w:cstheme="majorBidi"/>
          <w:i/>
          <w:iCs/>
          <w:sz w:val="24"/>
          <w:szCs w:val="24"/>
        </w:rPr>
        <w:t xml:space="preserve">Attend the </w:t>
      </w:r>
      <w:bookmarkEnd w:id="2"/>
      <w:bookmarkEnd w:id="3"/>
      <w:r w:rsidR="00375112" w:rsidRPr="00375112">
        <w:rPr>
          <w:rFonts w:asciiTheme="majorBidi" w:hAnsiTheme="majorBidi" w:cstheme="majorBidi"/>
          <w:i/>
          <w:iCs/>
          <w:sz w:val="24"/>
          <w:szCs w:val="24"/>
        </w:rPr>
        <w:t xml:space="preserve">Malakal – Integrated Security Risk Assessment </w:t>
      </w:r>
      <w:r w:rsidR="00375112">
        <w:rPr>
          <w:rFonts w:asciiTheme="majorBidi" w:hAnsiTheme="majorBidi" w:cstheme="majorBidi"/>
          <w:i/>
          <w:iCs/>
          <w:sz w:val="24"/>
          <w:szCs w:val="24"/>
        </w:rPr>
        <w:t xml:space="preserve">(ISRA) </w:t>
      </w:r>
      <w:r w:rsidR="00375112" w:rsidRPr="00375112">
        <w:rPr>
          <w:rFonts w:asciiTheme="majorBidi" w:hAnsiTheme="majorBidi" w:cstheme="majorBidi"/>
          <w:i/>
          <w:iCs/>
          <w:sz w:val="24"/>
          <w:szCs w:val="24"/>
        </w:rPr>
        <w:t>Sub-Committee Meeting</w:t>
      </w:r>
    </w:p>
    <w:p w14:paraId="2654F95C" w14:textId="10C6817E" w:rsidR="00012493" w:rsidRPr="00375112" w:rsidRDefault="00012493" w:rsidP="00495141">
      <w:pPr>
        <w:pStyle w:val="ListParagraph"/>
        <w:spacing w:after="0" w:line="240" w:lineRule="auto"/>
        <w:jc w:val="both"/>
        <w:rPr>
          <w:rFonts w:asciiTheme="majorBidi" w:hAnsiTheme="majorBidi" w:cstheme="majorBidi"/>
          <w:i/>
          <w:iCs/>
          <w:sz w:val="24"/>
          <w:szCs w:val="24"/>
        </w:rPr>
      </w:pPr>
    </w:p>
    <w:bookmarkEnd w:id="0"/>
    <w:p w14:paraId="5FEA9485" w14:textId="6A241625" w:rsidR="00F64818" w:rsidRPr="00DD6AE8"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834C83">
        <w:rPr>
          <w:rFonts w:ascii="Times New Roman" w:eastAsia="Calibri" w:hAnsi="Times New Roman" w:cs="Times New Roman"/>
          <w:b/>
          <w:bCs/>
          <w:sz w:val="24"/>
          <w:szCs w:val="24"/>
        </w:rPr>
        <w:t>–</w:t>
      </w:r>
    </w:p>
    <w:p w14:paraId="7988DEB5" w14:textId="77777777" w:rsidR="00DD6AE8" w:rsidRDefault="00DD6AE8" w:rsidP="00DD6AE8">
      <w:pPr>
        <w:spacing w:after="0" w:line="240" w:lineRule="auto"/>
        <w:ind w:left="-76"/>
        <w:contextualSpacing/>
        <w:jc w:val="both"/>
        <w:rPr>
          <w:rFonts w:ascii="Times New Roman" w:eastAsia="Calibri" w:hAnsi="Times New Roman" w:cs="Times New Roman"/>
          <w:b/>
          <w:bCs/>
          <w:sz w:val="24"/>
          <w:szCs w:val="24"/>
        </w:rPr>
      </w:pPr>
    </w:p>
    <w:p w14:paraId="7227AA68" w14:textId="65081400" w:rsidR="00DD6AE8" w:rsidRPr="00EB3CB1" w:rsidRDefault="00DD6AE8" w:rsidP="00DD6AE8">
      <w:pPr>
        <w:pStyle w:val="NormalWeb"/>
        <w:rPr>
          <w:rFonts w:asciiTheme="majorBidi" w:hAnsiTheme="majorBidi" w:cstheme="majorBidi"/>
        </w:rPr>
      </w:pPr>
      <w:r w:rsidRPr="00EB3CB1">
        <w:rPr>
          <w:rStyle w:val="Strong"/>
          <w:rFonts w:asciiTheme="majorBidi" w:hAnsiTheme="majorBidi" w:cstheme="majorBidi"/>
        </w:rPr>
        <w:t xml:space="preserve">Reported Killing in Dangershufu Market – Malakal Town </w:t>
      </w:r>
    </w:p>
    <w:p w14:paraId="73089F68" w14:textId="30EC459D" w:rsidR="00DD6AE8" w:rsidRPr="00EB3CB1" w:rsidRDefault="00DD6AE8" w:rsidP="00EB3CB1">
      <w:pPr>
        <w:pStyle w:val="NormalWeb"/>
        <w:jc w:val="both"/>
        <w:rPr>
          <w:rFonts w:asciiTheme="majorBidi" w:hAnsiTheme="majorBidi" w:cstheme="majorBidi"/>
        </w:rPr>
      </w:pPr>
      <w:r w:rsidRPr="00EB3CB1">
        <w:rPr>
          <w:rFonts w:asciiTheme="majorBidi" w:hAnsiTheme="majorBidi" w:cstheme="majorBidi"/>
        </w:rPr>
        <w:t>On 26 November</w:t>
      </w:r>
      <w:r w:rsidR="00F42EC7">
        <w:rPr>
          <w:rFonts w:asciiTheme="majorBidi" w:hAnsiTheme="majorBidi" w:cstheme="majorBidi"/>
        </w:rPr>
        <w:t xml:space="preserve"> 2025</w:t>
      </w:r>
      <w:r w:rsidRPr="00EB3CB1">
        <w:rPr>
          <w:rFonts w:asciiTheme="majorBidi" w:hAnsiTheme="majorBidi" w:cstheme="majorBidi"/>
        </w:rPr>
        <w:t xml:space="preserve">, multiple sources reported that on 25 November a male civilian was shot and killed in Dangershufu Market, located in the southern part of Malakal town. The alleged perpetrator is an SSPDF soldier, who was reportedly apprehended shortly after the incident by SSPDF Military Intelligence personnel stationed at the Dangershufu military barracks. The deceased, identified as </w:t>
      </w:r>
      <w:r w:rsidRPr="00EB3CB1">
        <w:rPr>
          <w:rStyle w:val="Strong"/>
          <w:rFonts w:asciiTheme="majorBidi" w:hAnsiTheme="majorBidi" w:cstheme="majorBidi"/>
        </w:rPr>
        <w:t>Obiny Ongou</w:t>
      </w:r>
      <w:r w:rsidRPr="00EB3CB1">
        <w:rPr>
          <w:rFonts w:asciiTheme="majorBidi" w:hAnsiTheme="majorBidi" w:cstheme="majorBidi"/>
        </w:rPr>
        <w:t xml:space="preserve">, a </w:t>
      </w:r>
      <w:r w:rsidRPr="00EB3CB1">
        <w:rPr>
          <w:rStyle w:val="Strong"/>
          <w:rFonts w:asciiTheme="majorBidi" w:hAnsiTheme="majorBidi" w:cstheme="majorBidi"/>
          <w:b w:val="0"/>
          <w:bCs w:val="0"/>
        </w:rPr>
        <w:t>25-year-old Shilluk male</w:t>
      </w:r>
      <w:r w:rsidRPr="00EB3CB1">
        <w:rPr>
          <w:rFonts w:asciiTheme="majorBidi" w:hAnsiTheme="majorBidi" w:cstheme="majorBidi"/>
          <w:b/>
          <w:bCs/>
        </w:rPr>
        <w:t>,</w:t>
      </w:r>
      <w:r w:rsidRPr="00EB3CB1">
        <w:rPr>
          <w:rFonts w:asciiTheme="majorBidi" w:hAnsiTheme="majorBidi" w:cstheme="majorBidi"/>
        </w:rPr>
        <w:t xml:space="preserve"> was known to be a fisherman in the Dangershufu area.</w:t>
      </w:r>
    </w:p>
    <w:p w14:paraId="50C7FAC2" w14:textId="5FA2D1F4" w:rsidR="00DD6AE8" w:rsidRPr="00EB3CB1" w:rsidRDefault="00DD6AE8" w:rsidP="00EB3CB1">
      <w:pPr>
        <w:pStyle w:val="NormalWeb"/>
        <w:jc w:val="both"/>
        <w:rPr>
          <w:rFonts w:asciiTheme="majorBidi" w:hAnsiTheme="majorBidi" w:cstheme="majorBidi"/>
          <w:i/>
          <w:iCs/>
        </w:rPr>
      </w:pPr>
      <w:r w:rsidRPr="00EB3CB1">
        <w:rPr>
          <w:rStyle w:val="Strong"/>
          <w:rFonts w:asciiTheme="majorBidi" w:hAnsiTheme="majorBidi" w:cstheme="majorBidi"/>
          <w:b w:val="0"/>
          <w:bCs w:val="0"/>
          <w:i/>
          <w:iCs/>
        </w:rPr>
        <w:t>Comments: HRD will continue to closely monitor the situation</w:t>
      </w:r>
      <w:r w:rsidRPr="00EB3CB1">
        <w:rPr>
          <w:rFonts w:asciiTheme="majorBidi" w:hAnsiTheme="majorBidi" w:cstheme="majorBidi"/>
          <w:b/>
          <w:bCs/>
          <w:i/>
          <w:iCs/>
        </w:rPr>
        <w:t>,</w:t>
      </w:r>
      <w:r w:rsidRPr="00EB3CB1">
        <w:rPr>
          <w:rFonts w:asciiTheme="majorBidi" w:hAnsiTheme="majorBidi" w:cstheme="majorBidi"/>
          <w:i/>
          <w:iCs/>
        </w:rPr>
        <w:t xml:space="preserve"> including the circumstances that led to the killing. HRD will liaise with relevant authorities to verify the motivation behind the incident and assess any potential impact on civilians, community relations, and the overall security environment.</w:t>
      </w:r>
    </w:p>
    <w:p w14:paraId="6DF5BB38" w14:textId="4CB0F7A5" w:rsidR="00375112" w:rsidRPr="00375112" w:rsidRDefault="00894009" w:rsidP="00894009">
      <w:pPr>
        <w:pStyle w:val="NormalWeb"/>
        <w:jc w:val="both"/>
        <w:rPr>
          <w:rFonts w:asciiTheme="majorBidi" w:hAnsiTheme="majorBidi" w:cstheme="majorBidi"/>
          <w:b/>
          <w:bCs/>
        </w:rPr>
      </w:pPr>
      <w:r w:rsidRPr="00EB3CB1">
        <w:rPr>
          <w:rFonts w:asciiTheme="majorBidi" w:hAnsiTheme="majorBidi" w:cstheme="majorBidi"/>
          <w:b/>
          <w:bCs/>
        </w:rPr>
        <w:t>HRD Attend the</w:t>
      </w:r>
      <w:r w:rsidRPr="00EB3CB1">
        <w:rPr>
          <w:rFonts w:asciiTheme="majorBidi" w:hAnsiTheme="majorBidi" w:cstheme="majorBidi"/>
          <w:b/>
          <w:bCs/>
          <w:i/>
          <w:iCs/>
        </w:rPr>
        <w:t xml:space="preserve"> </w:t>
      </w:r>
      <w:r w:rsidR="00375112" w:rsidRPr="00375112">
        <w:rPr>
          <w:rFonts w:asciiTheme="majorBidi" w:hAnsiTheme="majorBidi" w:cstheme="majorBidi"/>
          <w:b/>
          <w:bCs/>
        </w:rPr>
        <w:t xml:space="preserve">Malakal – Integrated Security Risk Assessment Sub-Committee Meeting </w:t>
      </w:r>
    </w:p>
    <w:p w14:paraId="071C42D7" w14:textId="259879E8" w:rsidR="00375112" w:rsidRPr="00375112" w:rsidRDefault="00375112" w:rsidP="00375112">
      <w:pPr>
        <w:pStyle w:val="NormalWeb"/>
        <w:jc w:val="both"/>
        <w:rPr>
          <w:rFonts w:asciiTheme="majorBidi" w:hAnsiTheme="majorBidi" w:cstheme="majorBidi"/>
        </w:rPr>
      </w:pPr>
      <w:r w:rsidRPr="00375112">
        <w:rPr>
          <w:rFonts w:asciiTheme="majorBidi" w:hAnsiTheme="majorBidi" w:cstheme="majorBidi"/>
        </w:rPr>
        <w:t xml:space="preserve">Today, </w:t>
      </w:r>
      <w:r w:rsidRPr="00EB3CB1">
        <w:rPr>
          <w:rFonts w:asciiTheme="majorBidi" w:hAnsiTheme="majorBidi" w:cstheme="majorBidi"/>
        </w:rPr>
        <w:t>26 November 2025</w:t>
      </w:r>
      <w:r w:rsidRPr="00EB3CB1">
        <w:rPr>
          <w:rFonts w:asciiTheme="majorBidi" w:hAnsiTheme="majorBidi" w:cstheme="majorBidi"/>
          <w:i/>
          <w:iCs/>
        </w:rPr>
        <w:t xml:space="preserve"> </w:t>
      </w:r>
      <w:r w:rsidRPr="00375112">
        <w:rPr>
          <w:rFonts w:asciiTheme="majorBidi" w:hAnsiTheme="majorBidi" w:cstheme="majorBidi"/>
        </w:rPr>
        <w:t>HRD participated in the ISRA Sub-Committee Meeting for the Malakal PoC site. The meeting included representatives from DRC, WFP, UNHCR, OCHA, UNFPA, IOM, and MSF, as well as UNMISS components including Sector North, CAD, HRD, UNPOL, UNDSS, and PTR. This meeting forms part of the reactivation of the Malakal PoC Transition Task Force, in which HRD is a key member, aimed at advancing the ongoing PoC transition process.</w:t>
      </w:r>
    </w:p>
    <w:p w14:paraId="623CF05E" w14:textId="5D743D27" w:rsidR="00375112" w:rsidRPr="00375112" w:rsidRDefault="00375112" w:rsidP="00375112">
      <w:pPr>
        <w:pStyle w:val="NormalWeb"/>
        <w:jc w:val="both"/>
        <w:rPr>
          <w:rFonts w:asciiTheme="majorBidi" w:hAnsiTheme="majorBidi" w:cstheme="majorBidi"/>
        </w:rPr>
      </w:pPr>
      <w:r w:rsidRPr="00375112">
        <w:rPr>
          <w:rFonts w:asciiTheme="majorBidi" w:hAnsiTheme="majorBidi" w:cstheme="majorBidi"/>
        </w:rPr>
        <w:t>The SRA is a strategic requirement to examine critical risks that could affect a smooth transition of the PoC into a conventional IDP camp. The objective of the assessment is to evaluate existing and perceived threats of physical violence against PoC residents, taking into account the changed security and political context.</w:t>
      </w:r>
    </w:p>
    <w:p w14:paraId="56DE442D" w14:textId="4141F72D" w:rsidR="00375112" w:rsidRPr="00375112" w:rsidRDefault="00375112" w:rsidP="00375112">
      <w:pPr>
        <w:pStyle w:val="NormalWeb"/>
        <w:jc w:val="both"/>
        <w:rPr>
          <w:rFonts w:asciiTheme="majorBidi" w:hAnsiTheme="majorBidi" w:cstheme="majorBidi"/>
        </w:rPr>
      </w:pPr>
      <w:r w:rsidRPr="00375112">
        <w:rPr>
          <w:rFonts w:asciiTheme="majorBidi" w:hAnsiTheme="majorBidi" w:cstheme="majorBidi"/>
        </w:rPr>
        <w:t>The Malakal PoC site, established in December 2013 within the UNMISS Malakal Base, has served as a protective refuge for civilians fleeing conflict. Despite the peace agreement, residents</w:t>
      </w:r>
      <w:r w:rsidR="00495141" w:rsidRPr="00EB3CB1">
        <w:rPr>
          <w:rFonts w:asciiTheme="majorBidi" w:hAnsiTheme="majorBidi" w:cstheme="majorBidi"/>
        </w:rPr>
        <w:t xml:space="preserve"> </w:t>
      </w:r>
      <w:r w:rsidRPr="00375112">
        <w:rPr>
          <w:rFonts w:asciiTheme="majorBidi" w:hAnsiTheme="majorBidi" w:cstheme="majorBidi"/>
        </w:rPr>
        <w:t>particularly from various ethnic groups</w:t>
      </w:r>
      <w:r w:rsidR="00495141" w:rsidRPr="00EB3CB1">
        <w:rPr>
          <w:rFonts w:asciiTheme="majorBidi" w:hAnsiTheme="majorBidi" w:cstheme="majorBidi"/>
        </w:rPr>
        <w:t xml:space="preserve"> </w:t>
      </w:r>
      <w:r w:rsidRPr="00375112">
        <w:rPr>
          <w:rFonts w:asciiTheme="majorBidi" w:hAnsiTheme="majorBidi" w:cstheme="majorBidi"/>
        </w:rPr>
        <w:t xml:space="preserve">have continued to perceive the external security environment as unsafe. While the site maintained relative ethnic coexistence for years, tensions increased following the killing of a Nuer </w:t>
      </w:r>
      <w:r w:rsidRPr="00375112">
        <w:rPr>
          <w:rFonts w:asciiTheme="majorBidi" w:hAnsiTheme="majorBidi" w:cstheme="majorBidi"/>
        </w:rPr>
        <w:lastRenderedPageBreak/>
        <w:t>individual on 28 May 2023, which escalated into armed clashes between Shilluk and Nuer communities on 8 June 2023. This resulted in the displacement of Nuer IDPs to Malakal Town, leaving the Shilluk community as the overwhelming majority inside the PoC.</w:t>
      </w:r>
    </w:p>
    <w:p w14:paraId="41F3B989" w14:textId="1B117DF1" w:rsidR="00495141" w:rsidRPr="00EB3CB1" w:rsidRDefault="00495141" w:rsidP="00495141">
      <w:pPr>
        <w:pStyle w:val="NormalWeb"/>
        <w:jc w:val="both"/>
        <w:rPr>
          <w:rFonts w:asciiTheme="majorBidi" w:hAnsiTheme="majorBidi" w:cstheme="majorBidi"/>
        </w:rPr>
      </w:pPr>
      <w:r w:rsidRPr="00EB3CB1">
        <w:rPr>
          <w:rFonts w:asciiTheme="majorBidi" w:hAnsiTheme="majorBidi" w:cstheme="majorBidi"/>
        </w:rPr>
        <w:t xml:space="preserve">Discussions focused on updating the risk assessment matrix for the Malakal PoC site. Participants highlighted the importance of identifying potential future factors that may trigger displacement in Upper Nile, affect the implementation of the PoC mandate, or exacerbate internal social and security dynamics within the site. HRD provided detailed inputs, noting recent patterns related to intercommunal tensions, criminality, movement restrictions, and gaps in community information flow. HRD recommended adjusting several risk categories both upgrading and downgrading based on current protection trends, shifts in community relations, service delivery challenges, and emerging vulnerabilities observed during ongoing monitoring. </w:t>
      </w: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25D64555" w:rsidR="00F64818" w:rsidRPr="00012493"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r w:rsidR="00834C83" w:rsidRPr="009F6498">
        <w:rPr>
          <w:rFonts w:ascii="Times New Roman" w:eastAsia="Calibri" w:hAnsi="Times New Roman" w:cs="Times New Roman"/>
          <w:i/>
          <w:iCs/>
          <w:sz w:val="24"/>
          <w:szCs w:val="24"/>
        </w:rPr>
        <w:t>NSTR</w:t>
      </w:r>
    </w:p>
    <w:p w14:paraId="3AD03F92" w14:textId="77777777" w:rsidR="00012493" w:rsidRDefault="00012493" w:rsidP="00012493">
      <w:pPr>
        <w:spacing w:after="0" w:line="240" w:lineRule="auto"/>
        <w:contextualSpacing/>
        <w:jc w:val="both"/>
        <w:rPr>
          <w:rFonts w:ascii="Times New Roman" w:eastAsia="Palatino Linotype" w:hAnsi="Times New Roman" w:cs="Times New Roman"/>
          <w:bCs/>
          <w:i/>
          <w:iCs/>
          <w:sz w:val="24"/>
          <w:szCs w:val="24"/>
        </w:rPr>
      </w:pP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4"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27E8A324" w:rsidR="00124C31" w:rsidRPr="009937A5"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5" w:name="_Hlk187242477"/>
      <w:r w:rsidR="006B1594">
        <w:rPr>
          <w:rFonts w:ascii="Times New Roman" w:eastAsia="Palatino Linotype" w:hAnsi="Times New Roman" w:cs="Times New Roman"/>
          <w:b/>
          <w:bCs/>
          <w:sz w:val="24"/>
          <w:szCs w:val="24"/>
        </w:rPr>
        <w:t xml:space="preserve"> </w:t>
      </w:r>
      <w:r w:rsidR="009937A5">
        <w:rPr>
          <w:rFonts w:ascii="Times New Roman" w:eastAsia="Palatino Linotype" w:hAnsi="Times New Roman" w:cs="Times New Roman"/>
          <w:b/>
          <w:bCs/>
          <w:sz w:val="24"/>
          <w:szCs w:val="24"/>
        </w:rPr>
        <w:t xml:space="preserve">- </w:t>
      </w:r>
      <w:r w:rsidR="00980A38" w:rsidRPr="00980A38">
        <w:rPr>
          <w:rFonts w:ascii="Times New Roman" w:eastAsia="Palatino Linotype" w:hAnsi="Times New Roman" w:cs="Times New Roman"/>
          <w:i/>
          <w:iCs/>
          <w:sz w:val="24"/>
          <w:szCs w:val="24"/>
        </w:rPr>
        <w:t>NSTR</w:t>
      </w:r>
    </w:p>
    <w:bookmarkEnd w:id="5"/>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6"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6"/>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4"/>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050CC" w14:textId="77777777" w:rsidR="00043833" w:rsidRDefault="00043833" w:rsidP="00182875">
      <w:pPr>
        <w:spacing w:after="0" w:line="240" w:lineRule="auto"/>
      </w:pPr>
      <w:r>
        <w:separator/>
      </w:r>
    </w:p>
  </w:endnote>
  <w:endnote w:type="continuationSeparator" w:id="0">
    <w:p w14:paraId="4FA93EFA" w14:textId="77777777" w:rsidR="00043833" w:rsidRDefault="00043833"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7A914" w14:textId="77777777" w:rsidR="00043833" w:rsidRDefault="00043833" w:rsidP="00182875">
      <w:pPr>
        <w:spacing w:after="0" w:line="240" w:lineRule="auto"/>
      </w:pPr>
      <w:r>
        <w:separator/>
      </w:r>
    </w:p>
  </w:footnote>
  <w:footnote w:type="continuationSeparator" w:id="0">
    <w:p w14:paraId="4F73B22B" w14:textId="77777777" w:rsidR="00043833" w:rsidRDefault="00043833"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1E0F6C"/>
    <w:multiLevelType w:val="hybridMultilevel"/>
    <w:tmpl w:val="87D44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9"/>
  </w:num>
  <w:num w:numId="28" w16cid:durableId="788816682">
    <w:abstractNumId w:val="14"/>
  </w:num>
  <w:num w:numId="29" w16cid:durableId="1116559980">
    <w:abstractNumId w:val="9"/>
  </w:num>
  <w:num w:numId="30" w16cid:durableId="52102032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2493"/>
    <w:rsid w:val="00013E88"/>
    <w:rsid w:val="00014A72"/>
    <w:rsid w:val="00014E53"/>
    <w:rsid w:val="000150AB"/>
    <w:rsid w:val="00024D61"/>
    <w:rsid w:val="000254D2"/>
    <w:rsid w:val="00026C15"/>
    <w:rsid w:val="00027417"/>
    <w:rsid w:val="000426CC"/>
    <w:rsid w:val="00043833"/>
    <w:rsid w:val="00051E9D"/>
    <w:rsid w:val="00056414"/>
    <w:rsid w:val="00057298"/>
    <w:rsid w:val="00060CFF"/>
    <w:rsid w:val="0006257F"/>
    <w:rsid w:val="0006338C"/>
    <w:rsid w:val="00066E54"/>
    <w:rsid w:val="0007027A"/>
    <w:rsid w:val="000837A3"/>
    <w:rsid w:val="00085DC7"/>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0973"/>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09C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046C"/>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D6585"/>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112"/>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67C41"/>
    <w:rsid w:val="0047097F"/>
    <w:rsid w:val="00472774"/>
    <w:rsid w:val="00472AC1"/>
    <w:rsid w:val="00481E58"/>
    <w:rsid w:val="00483AC9"/>
    <w:rsid w:val="00484454"/>
    <w:rsid w:val="00491F8B"/>
    <w:rsid w:val="0049340D"/>
    <w:rsid w:val="0049410F"/>
    <w:rsid w:val="00495141"/>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0637"/>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045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0CE7"/>
    <w:rsid w:val="007C1895"/>
    <w:rsid w:val="007C5735"/>
    <w:rsid w:val="007C77B5"/>
    <w:rsid w:val="007D35D2"/>
    <w:rsid w:val="007E3351"/>
    <w:rsid w:val="007E412C"/>
    <w:rsid w:val="007E483B"/>
    <w:rsid w:val="007F0403"/>
    <w:rsid w:val="007F3514"/>
    <w:rsid w:val="00800446"/>
    <w:rsid w:val="0080427D"/>
    <w:rsid w:val="00804A13"/>
    <w:rsid w:val="00810A55"/>
    <w:rsid w:val="008144B7"/>
    <w:rsid w:val="0081517D"/>
    <w:rsid w:val="00820B31"/>
    <w:rsid w:val="008218C4"/>
    <w:rsid w:val="0082530A"/>
    <w:rsid w:val="00826524"/>
    <w:rsid w:val="00830D9B"/>
    <w:rsid w:val="00833B85"/>
    <w:rsid w:val="00834C83"/>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94009"/>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0084"/>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6611C"/>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493A"/>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D6AE8"/>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6A8"/>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B3CB1"/>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6AE7"/>
    <w:rsid w:val="00F07CAF"/>
    <w:rsid w:val="00F07FA1"/>
    <w:rsid w:val="00F147C4"/>
    <w:rsid w:val="00F149E4"/>
    <w:rsid w:val="00F2116B"/>
    <w:rsid w:val="00F21533"/>
    <w:rsid w:val="00F247B2"/>
    <w:rsid w:val="00F264E3"/>
    <w:rsid w:val="00F269CD"/>
    <w:rsid w:val="00F27EB1"/>
    <w:rsid w:val="00F31B01"/>
    <w:rsid w:val="00F35136"/>
    <w:rsid w:val="00F42289"/>
    <w:rsid w:val="00F42EC7"/>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582</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Nuwan Uddika Liyanage</cp:lastModifiedBy>
  <cp:revision>11</cp:revision>
  <dcterms:created xsi:type="dcterms:W3CDTF">2025-11-25T14:16:00Z</dcterms:created>
  <dcterms:modified xsi:type="dcterms:W3CDTF">2025-11-26T14:58:00Z</dcterms:modified>
</cp:coreProperties>
</file>