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2139061"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149E5189" w:rsidR="00F64818" w:rsidRPr="00FC061F" w:rsidRDefault="00BC4D81"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16</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174DB503" w14:textId="77777777" w:rsidR="00BC4D81" w:rsidRDefault="00BC4D81" w:rsidP="00BC4D81">
      <w:pPr>
        <w:spacing w:after="0" w:line="240" w:lineRule="auto"/>
        <w:contextualSpacing/>
        <w:jc w:val="both"/>
        <w:rPr>
          <w:rFonts w:asciiTheme="majorBidi" w:hAnsiTheme="majorBidi" w:cstheme="majorBidi"/>
          <w:sz w:val="24"/>
          <w:szCs w:val="24"/>
        </w:rPr>
      </w:pPr>
    </w:p>
    <w:p w14:paraId="1B25E279" w14:textId="5CB29E99" w:rsidR="00BC4D81" w:rsidRPr="00BC4D81" w:rsidRDefault="00BC4D81" w:rsidP="00BC4D81">
      <w:pPr>
        <w:pStyle w:val="ListParagraph"/>
        <w:numPr>
          <w:ilvl w:val="0"/>
          <w:numId w:val="15"/>
        </w:numPr>
        <w:spacing w:after="0" w:line="240" w:lineRule="auto"/>
        <w:jc w:val="both"/>
        <w:rPr>
          <w:rFonts w:asciiTheme="majorBidi" w:hAnsiTheme="majorBidi" w:cstheme="majorBidi"/>
          <w:i/>
          <w:iCs/>
          <w:sz w:val="24"/>
          <w:szCs w:val="24"/>
        </w:rPr>
      </w:pPr>
      <w:r w:rsidRPr="00BC4D81">
        <w:rPr>
          <w:rFonts w:asciiTheme="majorBidi" w:hAnsiTheme="majorBidi" w:cstheme="majorBidi"/>
          <w:i/>
          <w:iCs/>
          <w:sz w:val="24"/>
          <w:szCs w:val="24"/>
        </w:rPr>
        <w:t>HRD conducts visit t</w:t>
      </w:r>
      <w:r w:rsidR="004F2E0C">
        <w:rPr>
          <w:rFonts w:asciiTheme="majorBidi" w:hAnsiTheme="majorBidi" w:cstheme="majorBidi"/>
          <w:i/>
          <w:iCs/>
          <w:sz w:val="24"/>
          <w:szCs w:val="24"/>
        </w:rPr>
        <w:t>o</w:t>
      </w:r>
      <w:r w:rsidRPr="00BC4D81">
        <w:rPr>
          <w:rFonts w:asciiTheme="majorBidi" w:hAnsiTheme="majorBidi" w:cstheme="majorBidi"/>
          <w:i/>
          <w:iCs/>
          <w:sz w:val="24"/>
          <w:szCs w:val="24"/>
        </w:rPr>
        <w:t xml:space="preserve"> Aweil Central State Prison and detention </w:t>
      </w:r>
      <w:r w:rsidR="004D55F4">
        <w:rPr>
          <w:rFonts w:asciiTheme="majorBidi" w:hAnsiTheme="majorBidi" w:cstheme="majorBidi"/>
          <w:i/>
          <w:iCs/>
          <w:sz w:val="24"/>
          <w:szCs w:val="24"/>
        </w:rPr>
        <w:t xml:space="preserve"> center </w:t>
      </w:r>
      <w:r w:rsidRPr="00BC4D81">
        <w:rPr>
          <w:rFonts w:asciiTheme="majorBidi" w:hAnsiTheme="majorBidi" w:cstheme="majorBidi"/>
          <w:i/>
          <w:iCs/>
          <w:sz w:val="24"/>
          <w:szCs w:val="24"/>
        </w:rPr>
        <w:t>to monitor  conditions of  inmates</w:t>
      </w:r>
    </w:p>
    <w:p w14:paraId="7015B636" w14:textId="77777777" w:rsidR="0058361D" w:rsidRPr="00BC4D81" w:rsidRDefault="0058361D" w:rsidP="0058361D">
      <w:pPr>
        <w:spacing w:after="0" w:line="240" w:lineRule="auto"/>
        <w:jc w:val="both"/>
        <w:rPr>
          <w:rFonts w:asciiTheme="majorBidi" w:eastAsia="Calibri" w:hAnsiTheme="majorBidi" w:cstheme="majorBidi"/>
          <w:i/>
          <w:iCs/>
          <w:sz w:val="24"/>
          <w:szCs w:val="24"/>
        </w:rPr>
      </w:pPr>
    </w:p>
    <w:p w14:paraId="5583550A" w14:textId="5985787C" w:rsidR="00746D52" w:rsidRPr="005B1D6A" w:rsidRDefault="00F64818" w:rsidP="004B4C56">
      <w:pPr>
        <w:numPr>
          <w:ilvl w:val="0"/>
          <w:numId w:val="1"/>
        </w:numPr>
        <w:spacing w:after="0" w:line="240" w:lineRule="auto"/>
        <w:ind w:left="284"/>
        <w:contextualSpacing/>
        <w:jc w:val="both"/>
        <w:rPr>
          <w:rFonts w:ascii="Times New Roman" w:eastAsia="Palatino Linotype" w:hAnsi="Times New Roman" w:cs="Times New Roman"/>
          <w:i/>
          <w:iCs/>
          <w:sz w:val="24"/>
          <w:szCs w:val="24"/>
        </w:rPr>
      </w:pPr>
      <w:r w:rsidRPr="00BC4D81">
        <w:rPr>
          <w:rFonts w:asciiTheme="majorBidi" w:eastAsia="Calibri" w:hAnsiTheme="majorBidi" w:cstheme="majorBidi"/>
          <w:b/>
          <w:bCs/>
          <w:sz w:val="24"/>
          <w:szCs w:val="24"/>
        </w:rPr>
        <w:t xml:space="preserve">Political and </w:t>
      </w:r>
      <w:r w:rsidR="00F533B4" w:rsidRPr="00BC4D81">
        <w:rPr>
          <w:rFonts w:asciiTheme="majorBidi" w:eastAsia="Calibri" w:hAnsiTheme="majorBidi" w:cstheme="majorBidi"/>
          <w:b/>
          <w:bCs/>
          <w:sz w:val="24"/>
          <w:szCs w:val="24"/>
        </w:rPr>
        <w:t>S</w:t>
      </w:r>
      <w:r w:rsidRPr="00BC4D81">
        <w:rPr>
          <w:rFonts w:asciiTheme="majorBidi" w:eastAsia="Calibri" w:hAnsiTheme="majorBidi" w:cstheme="majorBidi"/>
          <w:b/>
          <w:bCs/>
          <w:sz w:val="24"/>
          <w:szCs w:val="24"/>
        </w:rPr>
        <w:t xml:space="preserve">ecurity </w:t>
      </w:r>
      <w:r w:rsidR="00F533B4" w:rsidRPr="00BC4D81">
        <w:rPr>
          <w:rFonts w:asciiTheme="majorBidi" w:eastAsia="Calibri" w:hAnsiTheme="majorBidi" w:cstheme="majorBidi"/>
          <w:b/>
          <w:bCs/>
          <w:sz w:val="24"/>
          <w:szCs w:val="24"/>
        </w:rPr>
        <w:t>U</w:t>
      </w:r>
      <w:r w:rsidRPr="00BC4D81">
        <w:rPr>
          <w:rFonts w:asciiTheme="majorBidi" w:eastAsia="Calibri" w:hAnsiTheme="majorBidi" w:cstheme="majorBidi"/>
          <w:b/>
          <w:bCs/>
          <w:sz w:val="24"/>
          <w:szCs w:val="24"/>
        </w:rPr>
        <w:t>pdates</w:t>
      </w:r>
    </w:p>
    <w:p w14:paraId="755FBC00" w14:textId="06A8CF39" w:rsidR="00071992" w:rsidRPr="00BC4D81" w:rsidRDefault="0075340A" w:rsidP="00FE5FCA">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Human Rights in the Electoral Process</w:t>
      </w:r>
      <w:r w:rsidR="00F64818" w:rsidRPr="00BC4D81">
        <w:rPr>
          <w:rFonts w:ascii="Times New Roman" w:eastAsia="Palatino Linotype" w:hAnsi="Times New Roman" w:cs="Times New Roman"/>
          <w:b/>
          <w:sz w:val="24"/>
          <w:szCs w:val="24"/>
        </w:rPr>
        <w:t xml:space="preserve"> </w:t>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55D1F9AD" w14:textId="3129AD38" w:rsidR="00234285" w:rsidRPr="00BC4D81" w:rsidRDefault="00F64818" w:rsidP="00453756">
      <w:pPr>
        <w:numPr>
          <w:ilvl w:val="0"/>
          <w:numId w:val="1"/>
        </w:numPr>
        <w:spacing w:after="0" w:line="240" w:lineRule="auto"/>
        <w:ind w:left="-76"/>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Conflict-</w:t>
      </w:r>
      <w:r w:rsidR="00833B85" w:rsidRPr="00BC4D81">
        <w:rPr>
          <w:rFonts w:ascii="Times New Roman" w:eastAsia="Palatino Linotype" w:hAnsi="Times New Roman" w:cs="Times New Roman"/>
          <w:b/>
          <w:sz w:val="24"/>
          <w:szCs w:val="24"/>
        </w:rPr>
        <w:t>R</w:t>
      </w:r>
      <w:r w:rsidRPr="00BC4D81">
        <w:rPr>
          <w:rFonts w:ascii="Times New Roman" w:eastAsia="Palatino Linotype" w:hAnsi="Times New Roman" w:cs="Times New Roman"/>
          <w:b/>
          <w:sz w:val="24"/>
          <w:szCs w:val="24"/>
        </w:rPr>
        <w:t xml:space="preserve">elated </w:t>
      </w:r>
      <w:r w:rsidR="00833B85" w:rsidRPr="00BC4D81">
        <w:rPr>
          <w:rFonts w:ascii="Times New Roman" w:eastAsia="Palatino Linotype" w:hAnsi="Times New Roman" w:cs="Times New Roman"/>
          <w:b/>
          <w:sz w:val="24"/>
          <w:szCs w:val="24"/>
        </w:rPr>
        <w:t>S</w:t>
      </w:r>
      <w:r w:rsidRPr="00BC4D81">
        <w:rPr>
          <w:rFonts w:ascii="Times New Roman" w:eastAsia="Palatino Linotype" w:hAnsi="Times New Roman" w:cs="Times New Roman"/>
          <w:b/>
          <w:sz w:val="24"/>
          <w:szCs w:val="24"/>
        </w:rPr>
        <w:t xml:space="preserve">exual </w:t>
      </w:r>
      <w:r w:rsidR="00833B85" w:rsidRPr="00BC4D81">
        <w:rPr>
          <w:rFonts w:ascii="Times New Roman" w:eastAsia="Palatino Linotype" w:hAnsi="Times New Roman" w:cs="Times New Roman"/>
          <w:b/>
          <w:sz w:val="24"/>
          <w:szCs w:val="24"/>
        </w:rPr>
        <w:t>V</w:t>
      </w:r>
      <w:r w:rsidRPr="00BC4D81">
        <w:rPr>
          <w:rFonts w:ascii="Times New Roman" w:eastAsia="Palatino Linotype" w:hAnsi="Times New Roman" w:cs="Times New Roman"/>
          <w:b/>
          <w:sz w:val="24"/>
          <w:szCs w:val="24"/>
        </w:rPr>
        <w:t>iolence</w:t>
      </w:r>
      <w:r w:rsidR="00833B85" w:rsidRPr="00BC4D81">
        <w:rPr>
          <w:rFonts w:ascii="Times New Roman" w:eastAsia="Palatino Linotype" w:hAnsi="Times New Roman" w:cs="Times New Roman"/>
          <w:b/>
          <w:sz w:val="24"/>
          <w:szCs w:val="24"/>
        </w:rPr>
        <w:t xml:space="preserve"> (CR</w:t>
      </w:r>
      <w:r w:rsidR="000B3183" w:rsidRPr="00BC4D81">
        <w:rPr>
          <w:rFonts w:ascii="Times New Roman" w:eastAsia="Palatino Linotype" w:hAnsi="Times New Roman" w:cs="Times New Roman"/>
          <w:b/>
          <w:sz w:val="24"/>
          <w:szCs w:val="24"/>
        </w:rPr>
        <w:t>SV)</w:t>
      </w:r>
    </w:p>
    <w:p w14:paraId="7D0BC2FC" w14:textId="7668098A" w:rsidR="005C6FBC" w:rsidRPr="00BC4D81" w:rsidRDefault="00833B85" w:rsidP="0066757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Sexual and Gender-Based Violence (SGBV)</w:t>
      </w:r>
      <w:bookmarkStart w:id="0" w:name="_Hlk155890358"/>
    </w:p>
    <w:p w14:paraId="0BBA7D6A" w14:textId="53FA6D49" w:rsidR="00380C3D" w:rsidRPr="00BC4D81" w:rsidRDefault="002705AC" w:rsidP="00B803D1">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 xml:space="preserve">Civic Space and Participation </w:t>
      </w:r>
      <w:r w:rsidR="00F15ADA" w:rsidRPr="00BC4D81">
        <w:rPr>
          <w:rFonts w:ascii="Times New Roman" w:eastAsia="Palatino Linotype" w:hAnsi="Times New Roman" w:cs="Times New Roman"/>
          <w:bCs/>
          <w:sz w:val="24"/>
          <w:szCs w:val="24"/>
        </w:rPr>
        <w:t xml:space="preserve">    </w:t>
      </w:r>
      <w:r w:rsidR="00D253DB" w:rsidRPr="00BC4D81">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1B66667F" w14:textId="77777777" w:rsidR="00E86DF0" w:rsidRPr="00BC4D81" w:rsidRDefault="00E86DF0" w:rsidP="00E86DF0">
      <w:pPr>
        <w:spacing w:after="0" w:line="240" w:lineRule="auto"/>
        <w:contextualSpacing/>
        <w:jc w:val="both"/>
        <w:rPr>
          <w:rFonts w:asciiTheme="majorBidi" w:hAnsiTheme="majorBidi" w:cstheme="majorBidi"/>
          <w:sz w:val="24"/>
          <w:szCs w:val="24"/>
          <w:u w:val="single"/>
        </w:rPr>
      </w:pPr>
    </w:p>
    <w:p w14:paraId="69B6961E" w14:textId="2E794A65" w:rsidR="00BC4D81" w:rsidRPr="00BC4D81" w:rsidRDefault="00BC4D81" w:rsidP="00BC4D81">
      <w:pPr>
        <w:spacing w:after="0" w:line="240" w:lineRule="auto"/>
        <w:contextualSpacing/>
        <w:jc w:val="both"/>
        <w:rPr>
          <w:rFonts w:asciiTheme="majorBidi" w:hAnsiTheme="majorBidi" w:cstheme="majorBidi"/>
          <w:sz w:val="24"/>
          <w:szCs w:val="24"/>
          <w:u w:val="single"/>
        </w:rPr>
      </w:pPr>
      <w:r w:rsidRPr="00BC4D81">
        <w:rPr>
          <w:rFonts w:asciiTheme="majorBidi" w:hAnsiTheme="majorBidi" w:cstheme="majorBidi"/>
          <w:sz w:val="24"/>
          <w:szCs w:val="24"/>
          <w:u w:val="single"/>
        </w:rPr>
        <w:t>HRD conducts visit the Aweil Central State Prison and detention to monitor  conditions of  inmates</w:t>
      </w:r>
    </w:p>
    <w:p w14:paraId="3E06DB26" w14:textId="77777777" w:rsidR="00BC4D81" w:rsidRPr="00BC4D81" w:rsidRDefault="00BC4D81" w:rsidP="00BC4D81">
      <w:pPr>
        <w:spacing w:after="0" w:line="240" w:lineRule="auto"/>
        <w:contextualSpacing/>
        <w:jc w:val="both"/>
        <w:rPr>
          <w:rFonts w:asciiTheme="majorBidi" w:hAnsiTheme="majorBidi" w:cstheme="majorBidi"/>
          <w:sz w:val="24"/>
          <w:szCs w:val="24"/>
          <w:u w:val="single"/>
        </w:rPr>
      </w:pPr>
    </w:p>
    <w:p w14:paraId="1525D5C1" w14:textId="1CA9ED71" w:rsidR="00BC4D81" w:rsidRPr="00C241EA" w:rsidRDefault="00BC4D81" w:rsidP="00BC4D81">
      <w:pPr>
        <w:spacing w:after="0" w:line="240" w:lineRule="auto"/>
        <w:contextualSpacing/>
        <w:jc w:val="both"/>
        <w:rPr>
          <w:rFonts w:asciiTheme="majorBidi" w:hAnsiTheme="majorBidi" w:cstheme="majorBidi"/>
          <w:sz w:val="24"/>
          <w:szCs w:val="24"/>
        </w:rPr>
      </w:pPr>
      <w:r w:rsidRPr="00C241EA">
        <w:rPr>
          <w:rFonts w:asciiTheme="majorBidi" w:hAnsiTheme="majorBidi" w:cstheme="majorBidi"/>
          <w:sz w:val="24"/>
          <w:szCs w:val="24"/>
        </w:rPr>
        <w:t xml:space="preserve">On 16 October 2025, HRD visited the Aweil Central State Prison to monitor conditions of detention and follow up on two (2) cases; the reported rape of a 2-year-old girl by a 20-year-old man and the case of Dut Akok, a </w:t>
      </w:r>
      <w:r>
        <w:rPr>
          <w:rFonts w:asciiTheme="majorBidi" w:hAnsiTheme="majorBidi" w:cstheme="majorBidi"/>
          <w:sz w:val="24"/>
          <w:szCs w:val="24"/>
        </w:rPr>
        <w:t>government critic</w:t>
      </w:r>
      <w:r w:rsidRPr="00C241EA">
        <w:rPr>
          <w:rFonts w:asciiTheme="majorBidi" w:hAnsiTheme="majorBidi" w:cstheme="majorBidi"/>
          <w:sz w:val="24"/>
          <w:szCs w:val="24"/>
        </w:rPr>
        <w:t xml:space="preserve"> who was sentenced to 1-year imprisonment for defaming the Governor of NBeG</w:t>
      </w:r>
      <w:r>
        <w:rPr>
          <w:rFonts w:asciiTheme="majorBidi" w:hAnsiTheme="majorBidi" w:cstheme="majorBidi"/>
          <w:sz w:val="24"/>
          <w:szCs w:val="24"/>
        </w:rPr>
        <w:t xml:space="preserve"> – Simon Uber – by </w:t>
      </w:r>
      <w:r w:rsidRPr="00C241EA">
        <w:rPr>
          <w:rFonts w:asciiTheme="majorBidi" w:hAnsiTheme="majorBidi" w:cstheme="majorBidi"/>
          <w:sz w:val="24"/>
          <w:szCs w:val="24"/>
        </w:rPr>
        <w:t xml:space="preserve">posting statements on Facebook accusing the Governor of misappropriating public funds.  </w:t>
      </w:r>
    </w:p>
    <w:p w14:paraId="678600BD" w14:textId="77777777" w:rsidR="00BC4D81" w:rsidRPr="00C241EA" w:rsidRDefault="00BC4D81" w:rsidP="00BC4D81">
      <w:pPr>
        <w:spacing w:after="0" w:line="240" w:lineRule="auto"/>
        <w:contextualSpacing/>
        <w:jc w:val="both"/>
        <w:rPr>
          <w:rFonts w:asciiTheme="majorBidi" w:hAnsiTheme="majorBidi" w:cstheme="majorBidi"/>
          <w:sz w:val="24"/>
          <w:szCs w:val="24"/>
        </w:rPr>
      </w:pPr>
    </w:p>
    <w:p w14:paraId="1AD73245" w14:textId="77777777" w:rsidR="00BC4D81" w:rsidRPr="00C241EA" w:rsidRDefault="00BC4D81" w:rsidP="00BC4D81">
      <w:pPr>
        <w:pStyle w:val="ListParagraph"/>
        <w:numPr>
          <w:ilvl w:val="0"/>
          <w:numId w:val="14"/>
        </w:numPr>
        <w:spacing w:after="0" w:line="240" w:lineRule="auto"/>
        <w:jc w:val="both"/>
        <w:rPr>
          <w:rFonts w:asciiTheme="majorBidi" w:hAnsiTheme="majorBidi" w:cstheme="majorBidi"/>
          <w:sz w:val="24"/>
          <w:szCs w:val="24"/>
        </w:rPr>
      </w:pPr>
      <w:r w:rsidRPr="00C241EA">
        <w:rPr>
          <w:rFonts w:asciiTheme="majorBidi" w:hAnsiTheme="majorBidi" w:cstheme="majorBidi"/>
          <w:b/>
          <w:bCs/>
          <w:sz w:val="24"/>
          <w:szCs w:val="24"/>
        </w:rPr>
        <w:t>Rape case:</w:t>
      </w:r>
      <w:r w:rsidRPr="00C241EA">
        <w:rPr>
          <w:rFonts w:asciiTheme="majorBidi" w:hAnsiTheme="majorBidi" w:cstheme="majorBidi"/>
          <w:sz w:val="24"/>
          <w:szCs w:val="24"/>
        </w:rPr>
        <w:t xml:space="preserve"> HRD spoke to a suspect accused of raping a 2-year-old girl in the Mathiang Dut Akok village of Aweil East County. Although official documents recorded his age as 20 years old, the suspect informed HRD that he is 14 years old.</w:t>
      </w:r>
      <w:r w:rsidRPr="00C241EA">
        <w:rPr>
          <w:rStyle w:val="FootnoteReference"/>
          <w:rFonts w:asciiTheme="majorBidi" w:hAnsiTheme="majorBidi" w:cstheme="majorBidi"/>
          <w:sz w:val="24"/>
          <w:szCs w:val="24"/>
        </w:rPr>
        <w:footnoteReference w:id="1"/>
      </w:r>
      <w:r w:rsidRPr="00C241EA">
        <w:rPr>
          <w:rFonts w:asciiTheme="majorBidi" w:hAnsiTheme="majorBidi" w:cstheme="majorBidi"/>
          <w:sz w:val="24"/>
          <w:szCs w:val="24"/>
        </w:rPr>
        <w:t xml:space="preserve"> The case against him was opened by the victim’s father. During HRD’s engagement, the suspect was incoherent and appeared mentally unstable.  </w:t>
      </w:r>
    </w:p>
    <w:p w14:paraId="4CB05237" w14:textId="77777777" w:rsidR="00BC4D81" w:rsidRPr="00C241EA" w:rsidRDefault="00BC4D81" w:rsidP="00BC4D81">
      <w:pPr>
        <w:spacing w:after="0" w:line="240" w:lineRule="auto"/>
        <w:contextualSpacing/>
        <w:jc w:val="both"/>
        <w:rPr>
          <w:rFonts w:asciiTheme="majorBidi" w:hAnsiTheme="majorBidi" w:cstheme="majorBidi"/>
          <w:sz w:val="24"/>
          <w:szCs w:val="24"/>
        </w:rPr>
      </w:pPr>
    </w:p>
    <w:p w14:paraId="234ED6F5" w14:textId="77777777" w:rsidR="00BC4D81" w:rsidRPr="00C241EA" w:rsidRDefault="00BC4D81" w:rsidP="00BC4D81">
      <w:pPr>
        <w:pStyle w:val="ListParagraph"/>
        <w:numPr>
          <w:ilvl w:val="0"/>
          <w:numId w:val="14"/>
        </w:numPr>
        <w:spacing w:after="0" w:line="240" w:lineRule="auto"/>
        <w:jc w:val="both"/>
        <w:rPr>
          <w:rFonts w:asciiTheme="majorBidi" w:hAnsiTheme="majorBidi" w:cstheme="majorBidi"/>
          <w:sz w:val="24"/>
          <w:szCs w:val="24"/>
        </w:rPr>
      </w:pPr>
      <w:r w:rsidRPr="00C241EA">
        <w:rPr>
          <w:rFonts w:asciiTheme="majorBidi" w:hAnsiTheme="majorBidi" w:cstheme="majorBidi"/>
          <w:b/>
          <w:bCs/>
          <w:sz w:val="24"/>
          <w:szCs w:val="24"/>
        </w:rPr>
        <w:t>Defamation case:</w:t>
      </w:r>
      <w:r w:rsidRPr="00C241EA">
        <w:rPr>
          <w:rFonts w:asciiTheme="majorBidi" w:hAnsiTheme="majorBidi" w:cstheme="majorBidi"/>
          <w:sz w:val="24"/>
          <w:szCs w:val="24"/>
        </w:rPr>
        <w:t xml:space="preserve"> The High Court will hear Mr. Akok’s appeal against his 1-year sentence on 5 November. Mr. Akok informed HRD that the Governor had been exerting undue pressure and influence on the judiciary, hence the unreasonable delay in hearing his appeal, which was filled in May. The Governor had also proposed conditions to Mr. Akok in exchange for a pardon, including a public apology and a commitment to cease expressing critical view</w:t>
      </w:r>
      <w:r>
        <w:rPr>
          <w:rFonts w:asciiTheme="majorBidi" w:hAnsiTheme="majorBidi" w:cstheme="majorBidi"/>
          <w:sz w:val="24"/>
          <w:szCs w:val="24"/>
        </w:rPr>
        <w:t>s</w:t>
      </w:r>
      <w:r w:rsidRPr="00C241EA">
        <w:rPr>
          <w:rFonts w:asciiTheme="majorBidi" w:hAnsiTheme="majorBidi" w:cstheme="majorBidi"/>
          <w:sz w:val="24"/>
          <w:szCs w:val="24"/>
        </w:rPr>
        <w:t xml:space="preserve">, which Mr. Akok had refused.  </w:t>
      </w:r>
    </w:p>
    <w:p w14:paraId="229939B7" w14:textId="77777777" w:rsidR="00BC4D81" w:rsidRPr="00C241EA" w:rsidRDefault="00BC4D81" w:rsidP="00BC4D81">
      <w:pPr>
        <w:pStyle w:val="ListParagraph"/>
        <w:spacing w:after="0" w:line="240" w:lineRule="auto"/>
        <w:jc w:val="both"/>
        <w:rPr>
          <w:rFonts w:asciiTheme="majorBidi" w:hAnsiTheme="majorBidi" w:cstheme="majorBidi"/>
          <w:sz w:val="24"/>
          <w:szCs w:val="24"/>
        </w:rPr>
      </w:pPr>
    </w:p>
    <w:p w14:paraId="6B47EA9C" w14:textId="77777777" w:rsidR="00BC4D81" w:rsidRPr="00C241EA" w:rsidRDefault="00BC4D81" w:rsidP="00BC4D81">
      <w:pPr>
        <w:pStyle w:val="ListParagraph"/>
        <w:numPr>
          <w:ilvl w:val="0"/>
          <w:numId w:val="14"/>
        </w:numPr>
        <w:spacing w:after="0" w:line="240" w:lineRule="auto"/>
        <w:jc w:val="both"/>
        <w:rPr>
          <w:rFonts w:asciiTheme="majorBidi" w:hAnsiTheme="majorBidi" w:cstheme="majorBidi"/>
          <w:sz w:val="24"/>
          <w:szCs w:val="24"/>
        </w:rPr>
      </w:pPr>
      <w:r w:rsidRPr="00C241EA">
        <w:rPr>
          <w:rFonts w:asciiTheme="majorBidi" w:hAnsiTheme="majorBidi" w:cstheme="majorBidi"/>
          <w:b/>
          <w:bCs/>
          <w:sz w:val="24"/>
          <w:szCs w:val="24"/>
        </w:rPr>
        <w:t>Food insecurity:</w:t>
      </w:r>
      <w:r w:rsidRPr="00C241EA">
        <w:rPr>
          <w:rFonts w:asciiTheme="majorBidi" w:hAnsiTheme="majorBidi" w:cstheme="majorBidi"/>
          <w:sz w:val="24"/>
          <w:szCs w:val="24"/>
        </w:rPr>
        <w:t xml:space="preserve"> there had been a critical shortage of food in the prison, caused by a gap between the release of </w:t>
      </w:r>
      <w:r>
        <w:rPr>
          <w:rFonts w:asciiTheme="majorBidi" w:hAnsiTheme="majorBidi" w:cstheme="majorBidi"/>
          <w:sz w:val="24"/>
          <w:szCs w:val="24"/>
        </w:rPr>
        <w:t>a</w:t>
      </w:r>
      <w:r w:rsidRPr="00C241EA">
        <w:rPr>
          <w:rFonts w:asciiTheme="majorBidi" w:hAnsiTheme="majorBidi" w:cstheme="majorBidi"/>
          <w:sz w:val="24"/>
          <w:szCs w:val="24"/>
        </w:rPr>
        <w:t xml:space="preserve"> former </w:t>
      </w:r>
      <w:r>
        <w:rPr>
          <w:rFonts w:asciiTheme="majorBidi" w:hAnsiTheme="majorBidi" w:cstheme="majorBidi"/>
          <w:sz w:val="24"/>
          <w:szCs w:val="24"/>
        </w:rPr>
        <w:t>supplier</w:t>
      </w:r>
      <w:r w:rsidRPr="00C241EA">
        <w:rPr>
          <w:rFonts w:asciiTheme="majorBidi" w:hAnsiTheme="majorBidi" w:cstheme="majorBidi"/>
          <w:sz w:val="24"/>
          <w:szCs w:val="24"/>
        </w:rPr>
        <w:t xml:space="preserve"> from his contract and onboarding of a new </w:t>
      </w:r>
      <w:r>
        <w:rPr>
          <w:rFonts w:asciiTheme="majorBidi" w:hAnsiTheme="majorBidi" w:cstheme="majorBidi"/>
          <w:sz w:val="24"/>
          <w:szCs w:val="24"/>
        </w:rPr>
        <w:t>supplier</w:t>
      </w:r>
      <w:r w:rsidRPr="00C241EA">
        <w:rPr>
          <w:rFonts w:asciiTheme="majorBidi" w:hAnsiTheme="majorBidi" w:cstheme="majorBidi"/>
          <w:sz w:val="24"/>
          <w:szCs w:val="24"/>
        </w:rPr>
        <w:t xml:space="preserve">. The former </w:t>
      </w:r>
      <w:r>
        <w:rPr>
          <w:rFonts w:asciiTheme="majorBidi" w:hAnsiTheme="majorBidi" w:cstheme="majorBidi"/>
          <w:sz w:val="24"/>
          <w:szCs w:val="24"/>
        </w:rPr>
        <w:t>supplier</w:t>
      </w:r>
      <w:r w:rsidRPr="00C241EA">
        <w:rPr>
          <w:rFonts w:asciiTheme="majorBidi" w:hAnsiTheme="majorBidi" w:cstheme="majorBidi"/>
          <w:sz w:val="24"/>
          <w:szCs w:val="24"/>
        </w:rPr>
        <w:t xml:space="preserve">’s contract was cancelled by the State Director of Prisons because he was not providing </w:t>
      </w:r>
      <w:r w:rsidRPr="00C241EA">
        <w:rPr>
          <w:rFonts w:asciiTheme="majorBidi" w:hAnsiTheme="majorBidi" w:cstheme="majorBidi"/>
          <w:sz w:val="24"/>
          <w:szCs w:val="24"/>
        </w:rPr>
        <w:lastRenderedPageBreak/>
        <w:t xml:space="preserve">the items prescribed in his contract. Consequently, authorities had </w:t>
      </w:r>
      <w:r>
        <w:rPr>
          <w:rFonts w:asciiTheme="majorBidi" w:hAnsiTheme="majorBidi" w:cstheme="majorBidi"/>
          <w:sz w:val="24"/>
          <w:szCs w:val="24"/>
        </w:rPr>
        <w:t xml:space="preserve">been </w:t>
      </w:r>
      <w:r w:rsidRPr="00C241EA">
        <w:rPr>
          <w:rFonts w:asciiTheme="majorBidi" w:hAnsiTheme="majorBidi" w:cstheme="majorBidi"/>
          <w:sz w:val="24"/>
          <w:szCs w:val="24"/>
        </w:rPr>
        <w:t xml:space="preserve">borrowing food items from traders in the market for twelve (12) days. A new </w:t>
      </w:r>
      <w:r>
        <w:rPr>
          <w:rFonts w:asciiTheme="majorBidi" w:hAnsiTheme="majorBidi" w:cstheme="majorBidi"/>
          <w:sz w:val="24"/>
          <w:szCs w:val="24"/>
        </w:rPr>
        <w:t xml:space="preserve">supplier </w:t>
      </w:r>
      <w:r w:rsidRPr="00C241EA">
        <w:rPr>
          <w:rFonts w:asciiTheme="majorBidi" w:hAnsiTheme="majorBidi" w:cstheme="majorBidi"/>
          <w:sz w:val="24"/>
          <w:szCs w:val="24"/>
        </w:rPr>
        <w:t xml:space="preserve">commenced services on 9 October.  </w:t>
      </w:r>
    </w:p>
    <w:p w14:paraId="400425ED" w14:textId="77777777" w:rsidR="00BC4D81" w:rsidRDefault="00BC4D81" w:rsidP="00E86DF0">
      <w:pPr>
        <w:spacing w:after="0" w:line="240" w:lineRule="auto"/>
        <w:contextualSpacing/>
        <w:jc w:val="both"/>
        <w:rPr>
          <w:rFonts w:asciiTheme="majorBidi" w:hAnsiTheme="majorBidi" w:cstheme="majorBidi"/>
          <w:sz w:val="24"/>
          <w:szCs w:val="24"/>
        </w:rPr>
      </w:pPr>
    </w:p>
    <w:p w14:paraId="7C313A0C" w14:textId="77777777" w:rsidR="00BC4D81" w:rsidRDefault="00BC4D81" w:rsidP="00E86DF0">
      <w:pPr>
        <w:spacing w:after="0" w:line="240" w:lineRule="auto"/>
        <w:contextualSpacing/>
        <w:jc w:val="both"/>
        <w:rPr>
          <w:rFonts w:asciiTheme="majorBidi" w:hAnsiTheme="majorBidi" w:cstheme="majorBidi"/>
          <w:sz w:val="24"/>
          <w:szCs w:val="24"/>
        </w:rPr>
      </w:pPr>
    </w:p>
    <w:p w14:paraId="5647A0E9" w14:textId="533DB34E" w:rsidR="00F97F37" w:rsidRPr="0089301B" w:rsidRDefault="00B74A38" w:rsidP="00234870">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89301B">
        <w:rPr>
          <w:rFonts w:ascii="Times New Roman" w:eastAsia="Palatino Linotype" w:hAnsi="Times New Roman" w:cs="Times New Roman"/>
          <w:b/>
          <w:sz w:val="24"/>
          <w:szCs w:val="24"/>
        </w:rPr>
        <w:t>Transitional Justice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sectPr w:rsidR="00C87364"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BBFE" w14:textId="77777777" w:rsidR="00305A2A" w:rsidRDefault="00305A2A" w:rsidP="00182875">
      <w:pPr>
        <w:spacing w:after="0" w:line="240" w:lineRule="auto"/>
      </w:pPr>
      <w:r>
        <w:separator/>
      </w:r>
    </w:p>
  </w:endnote>
  <w:endnote w:type="continuationSeparator" w:id="0">
    <w:p w14:paraId="22475947" w14:textId="77777777" w:rsidR="00305A2A" w:rsidRDefault="00305A2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4F07E" w14:textId="77777777" w:rsidR="00305A2A" w:rsidRDefault="00305A2A" w:rsidP="00182875">
      <w:pPr>
        <w:spacing w:after="0" w:line="240" w:lineRule="auto"/>
      </w:pPr>
      <w:r>
        <w:separator/>
      </w:r>
    </w:p>
  </w:footnote>
  <w:footnote w:type="continuationSeparator" w:id="0">
    <w:p w14:paraId="462D7764" w14:textId="77777777" w:rsidR="00305A2A" w:rsidRDefault="00305A2A" w:rsidP="00182875">
      <w:pPr>
        <w:spacing w:after="0" w:line="240" w:lineRule="auto"/>
      </w:pPr>
      <w:r>
        <w:continuationSeparator/>
      </w:r>
    </w:p>
  </w:footnote>
  <w:footnote w:id="1">
    <w:p w14:paraId="4100474D" w14:textId="77777777" w:rsidR="00BC4D81" w:rsidRPr="00F01BB6" w:rsidRDefault="00BC4D81" w:rsidP="00BC4D81">
      <w:pPr>
        <w:pStyle w:val="FootnoteText"/>
      </w:pPr>
      <w:r>
        <w:rPr>
          <w:rStyle w:val="FootnoteReference"/>
        </w:rPr>
        <w:footnoteRef/>
      </w:r>
      <w:r>
        <w:t xml:space="preserve"> Suspect appears to be much older than 14-years-old.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11B5C4C"/>
    <w:multiLevelType w:val="hybridMultilevel"/>
    <w:tmpl w:val="509A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63D9F"/>
    <w:multiLevelType w:val="hybridMultilevel"/>
    <w:tmpl w:val="8F7C2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C2557"/>
    <w:multiLevelType w:val="hybridMultilevel"/>
    <w:tmpl w:val="442A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B1948"/>
    <w:multiLevelType w:val="hybridMultilevel"/>
    <w:tmpl w:val="16921D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5"/>
  </w:num>
  <w:num w:numId="3" w16cid:durableId="681708432">
    <w:abstractNumId w:val="6"/>
  </w:num>
  <w:num w:numId="4" w16cid:durableId="418908634">
    <w:abstractNumId w:val="0"/>
  </w:num>
  <w:num w:numId="5" w16cid:durableId="2070179637">
    <w:abstractNumId w:val="2"/>
  </w:num>
  <w:num w:numId="6" w16cid:durableId="1678068986">
    <w:abstractNumId w:val="8"/>
  </w:num>
  <w:num w:numId="7" w16cid:durableId="1874075912">
    <w:abstractNumId w:val="11"/>
  </w:num>
  <w:num w:numId="8" w16cid:durableId="754319878">
    <w:abstractNumId w:val="9"/>
  </w:num>
  <w:num w:numId="9" w16cid:durableId="2084599337">
    <w:abstractNumId w:val="10"/>
  </w:num>
  <w:num w:numId="10" w16cid:durableId="1905918694">
    <w:abstractNumId w:val="12"/>
  </w:num>
  <w:num w:numId="11" w16cid:durableId="394201098">
    <w:abstractNumId w:val="3"/>
  </w:num>
  <w:num w:numId="12" w16cid:durableId="1267808829">
    <w:abstractNumId w:val="13"/>
  </w:num>
  <w:num w:numId="13" w16cid:durableId="1268268132">
    <w:abstractNumId w:val="1"/>
  </w:num>
  <w:num w:numId="14" w16cid:durableId="64839497">
    <w:abstractNumId w:val="4"/>
  </w:num>
  <w:num w:numId="15" w16cid:durableId="1151405668">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0A"/>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6AA3"/>
    <w:rsid w:val="002D7B70"/>
    <w:rsid w:val="002E1215"/>
    <w:rsid w:val="002E2264"/>
    <w:rsid w:val="002E4CB7"/>
    <w:rsid w:val="002E5591"/>
    <w:rsid w:val="002E6DBC"/>
    <w:rsid w:val="002E7C57"/>
    <w:rsid w:val="002F326E"/>
    <w:rsid w:val="002F4E39"/>
    <w:rsid w:val="002F58B2"/>
    <w:rsid w:val="0030354E"/>
    <w:rsid w:val="00303CD9"/>
    <w:rsid w:val="00305A2A"/>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246"/>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0D1C"/>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76E1D"/>
    <w:rsid w:val="004827F3"/>
    <w:rsid w:val="00483AC9"/>
    <w:rsid w:val="004848C9"/>
    <w:rsid w:val="00484BE2"/>
    <w:rsid w:val="00484FB2"/>
    <w:rsid w:val="00494402"/>
    <w:rsid w:val="00497729"/>
    <w:rsid w:val="004A36DC"/>
    <w:rsid w:val="004A7FC9"/>
    <w:rsid w:val="004B0E42"/>
    <w:rsid w:val="004B2308"/>
    <w:rsid w:val="004B2502"/>
    <w:rsid w:val="004B32F0"/>
    <w:rsid w:val="004B4008"/>
    <w:rsid w:val="004B55EA"/>
    <w:rsid w:val="004C0402"/>
    <w:rsid w:val="004C0BF8"/>
    <w:rsid w:val="004C248E"/>
    <w:rsid w:val="004C51C9"/>
    <w:rsid w:val="004C580E"/>
    <w:rsid w:val="004D1193"/>
    <w:rsid w:val="004D1403"/>
    <w:rsid w:val="004D4DCE"/>
    <w:rsid w:val="004D55F4"/>
    <w:rsid w:val="004D6AB7"/>
    <w:rsid w:val="004E18DB"/>
    <w:rsid w:val="004E29F7"/>
    <w:rsid w:val="004E6417"/>
    <w:rsid w:val="004E7093"/>
    <w:rsid w:val="004F2E0C"/>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2AA1"/>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1D6A"/>
    <w:rsid w:val="005B2291"/>
    <w:rsid w:val="005B266F"/>
    <w:rsid w:val="005B2A07"/>
    <w:rsid w:val="005B4DC1"/>
    <w:rsid w:val="005B5106"/>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393A"/>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6D52"/>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9301B"/>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5742"/>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2E95"/>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19FE"/>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C4D81"/>
    <w:rsid w:val="00BC7F74"/>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5D97"/>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5181"/>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11B7"/>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 w:type="character" w:styleId="Hyperlink">
    <w:name w:val="Hyperlink"/>
    <w:basedOn w:val="DefaultParagraphFont"/>
    <w:uiPriority w:val="99"/>
    <w:unhideWhenUsed/>
    <w:rsid w:val="005B1D6A"/>
    <w:rPr>
      <w:color w:val="0563C1" w:themeColor="hyperlink"/>
      <w:u w:val="single"/>
    </w:rPr>
  </w:style>
  <w:style w:type="character" w:styleId="UnresolvedMention">
    <w:name w:val="Unresolved Mention"/>
    <w:basedOn w:val="DefaultParagraphFont"/>
    <w:uiPriority w:val="99"/>
    <w:semiHidden/>
    <w:unhideWhenUsed/>
    <w:rsid w:val="005B1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94978636">
      <w:bodyDiv w:val="1"/>
      <w:marLeft w:val="0"/>
      <w:marRight w:val="0"/>
      <w:marTop w:val="0"/>
      <w:marBottom w:val="0"/>
      <w:divBdr>
        <w:top w:val="none" w:sz="0" w:space="0" w:color="auto"/>
        <w:left w:val="none" w:sz="0" w:space="0" w:color="auto"/>
        <w:bottom w:val="none" w:sz="0" w:space="0" w:color="auto"/>
        <w:right w:val="none" w:sz="0" w:space="0" w:color="auto"/>
      </w:divBdr>
    </w:div>
    <w:div w:id="195050444">
      <w:bodyDiv w:val="1"/>
      <w:marLeft w:val="0"/>
      <w:marRight w:val="0"/>
      <w:marTop w:val="0"/>
      <w:marBottom w:val="0"/>
      <w:divBdr>
        <w:top w:val="none" w:sz="0" w:space="0" w:color="auto"/>
        <w:left w:val="none" w:sz="0" w:space="0" w:color="auto"/>
        <w:bottom w:val="none" w:sz="0" w:space="0" w:color="auto"/>
        <w:right w:val="none" w:sz="0" w:space="0" w:color="auto"/>
      </w:divBdr>
    </w:div>
    <w:div w:id="212928693">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73959111">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6597918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98566436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32952806">
      <w:bodyDiv w:val="1"/>
      <w:marLeft w:val="0"/>
      <w:marRight w:val="0"/>
      <w:marTop w:val="0"/>
      <w:marBottom w:val="0"/>
      <w:divBdr>
        <w:top w:val="none" w:sz="0" w:space="0" w:color="auto"/>
        <w:left w:val="none" w:sz="0" w:space="0" w:color="auto"/>
        <w:bottom w:val="none" w:sz="0" w:space="0" w:color="auto"/>
        <w:right w:val="none" w:sz="0" w:space="0" w:color="auto"/>
      </w:divBdr>
    </w:div>
    <w:div w:id="1351301247">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0893197">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1972126531">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4</cp:revision>
  <cp:lastPrinted>2024-09-18T12:16:00Z</cp:lastPrinted>
  <dcterms:created xsi:type="dcterms:W3CDTF">2025-10-16T14:57:00Z</dcterms:created>
  <dcterms:modified xsi:type="dcterms:W3CDTF">2025-10-16T14:58:00Z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