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BC459D"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BC459D">
        <w:rPr>
          <w:rFonts w:asciiTheme="majorBidi" w:eastAsia="Times New Roman" w:hAnsiTheme="majorBidi" w:cstheme="majorBidi"/>
          <w:spacing w:val="-10"/>
          <w:sz w:val="24"/>
          <w:szCs w:val="24"/>
        </w:rPr>
        <w:t xml:space="preserve">UNITED NATIONS   </w:t>
      </w:r>
      <w:r w:rsidRPr="00BC459D">
        <w:rPr>
          <w:rFonts w:asciiTheme="majorBidi" w:eastAsia="Times New Roman" w:hAnsiTheme="majorBidi" w:cstheme="majorBidi"/>
          <w:spacing w:val="-5"/>
          <w:sz w:val="24"/>
          <w:szCs w:val="24"/>
        </w:rPr>
        <w:t xml:space="preserve"> </w:t>
      </w:r>
      <w:r w:rsidRPr="00BC459D">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2409943" r:id="rId9"/>
        </w:object>
      </w:r>
      <w:r w:rsidRPr="00BC459D">
        <w:rPr>
          <w:rFonts w:asciiTheme="majorBidi" w:eastAsia="Times New Roman" w:hAnsiTheme="majorBidi" w:cstheme="majorBidi"/>
          <w:position w:val="-4"/>
          <w:sz w:val="24"/>
          <w:szCs w:val="24"/>
        </w:rPr>
        <w:t xml:space="preserve">      </w:t>
      </w:r>
      <w:r w:rsidRPr="00BC459D">
        <w:rPr>
          <w:rFonts w:asciiTheme="majorBidi" w:eastAsia="Times New Roman" w:hAnsiTheme="majorBidi" w:cstheme="majorBidi"/>
          <w:spacing w:val="-10"/>
          <w:position w:val="-4"/>
          <w:sz w:val="24"/>
          <w:szCs w:val="24"/>
        </w:rPr>
        <w:t xml:space="preserve"> </w:t>
      </w:r>
      <w:r w:rsidRPr="00BC459D">
        <w:rPr>
          <w:rFonts w:asciiTheme="majorBidi" w:eastAsia="Times New Roman" w:hAnsiTheme="majorBidi" w:cstheme="majorBidi"/>
          <w:b/>
          <w:position w:val="-4"/>
          <w:sz w:val="24"/>
          <w:szCs w:val="24"/>
          <w:rtl/>
        </w:rPr>
        <w:t>ألأمم المتحدة</w:t>
      </w:r>
    </w:p>
    <w:p w14:paraId="00EFBC62" w14:textId="77777777" w:rsidR="00CC3E4B" w:rsidRPr="00BC459D" w:rsidRDefault="00CC3E4B" w:rsidP="00EA6CDB">
      <w:pPr>
        <w:spacing w:after="0" w:line="240" w:lineRule="atLeast"/>
        <w:jc w:val="center"/>
        <w:rPr>
          <w:rFonts w:asciiTheme="majorBidi" w:eastAsia="Times New Roman" w:hAnsiTheme="majorBidi" w:cstheme="majorBidi"/>
          <w:sz w:val="24"/>
          <w:szCs w:val="24"/>
        </w:rPr>
      </w:pPr>
      <w:r w:rsidRPr="00BC459D">
        <w:rPr>
          <w:rFonts w:asciiTheme="majorBidi" w:eastAsia="Times New Roman" w:hAnsiTheme="majorBidi" w:cstheme="majorBidi"/>
          <w:sz w:val="24"/>
          <w:szCs w:val="24"/>
        </w:rPr>
        <w:t>United Nations Mission in South Sudan (UNMISS)</w:t>
      </w:r>
    </w:p>
    <w:p w14:paraId="081AB9B9" w14:textId="77777777" w:rsidR="00CC3E4B" w:rsidRPr="00BC459D"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BC459D" w:rsidRDefault="00CC3E4B" w:rsidP="00EA6CDB">
      <w:pPr>
        <w:spacing w:after="0" w:line="240" w:lineRule="atLeast"/>
        <w:jc w:val="center"/>
        <w:rPr>
          <w:rFonts w:asciiTheme="majorBidi" w:eastAsia="Times New Roman" w:hAnsiTheme="majorBidi" w:cstheme="majorBidi"/>
          <w:b/>
          <w:sz w:val="24"/>
          <w:szCs w:val="24"/>
        </w:rPr>
      </w:pPr>
      <w:r w:rsidRPr="00BC459D">
        <w:rPr>
          <w:rFonts w:asciiTheme="majorBidi" w:eastAsia="Times New Roman" w:hAnsiTheme="majorBidi" w:cstheme="majorBidi"/>
          <w:b/>
          <w:sz w:val="24"/>
          <w:szCs w:val="24"/>
        </w:rPr>
        <w:t>Human Rights Division (HRD)</w:t>
      </w:r>
    </w:p>
    <w:p w14:paraId="15048F8E" w14:textId="77777777" w:rsidR="00CC3E4B" w:rsidRPr="00BC459D"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BC459D" w:rsidRDefault="00CC3E4B" w:rsidP="00EA6CDB">
      <w:pPr>
        <w:spacing w:after="0" w:line="240" w:lineRule="atLeast"/>
        <w:jc w:val="center"/>
        <w:rPr>
          <w:rFonts w:asciiTheme="majorBidi" w:eastAsia="Calibri" w:hAnsiTheme="majorBidi" w:cstheme="majorBidi"/>
          <w:b/>
          <w:sz w:val="24"/>
          <w:szCs w:val="24"/>
        </w:rPr>
      </w:pPr>
      <w:r w:rsidRPr="00BC459D">
        <w:rPr>
          <w:rFonts w:asciiTheme="majorBidi" w:eastAsia="Calibri" w:hAnsiTheme="majorBidi" w:cstheme="majorBidi"/>
          <w:b/>
          <w:sz w:val="24"/>
          <w:szCs w:val="24"/>
        </w:rPr>
        <w:t>Bentiu Field Office Daily Report</w:t>
      </w:r>
    </w:p>
    <w:p w14:paraId="137E3EA5" w14:textId="77777777" w:rsidR="00CC3E4B" w:rsidRPr="00BC459D" w:rsidRDefault="00CC3E4B" w:rsidP="00EA6CDB">
      <w:pPr>
        <w:spacing w:after="0" w:line="240" w:lineRule="atLeast"/>
        <w:jc w:val="center"/>
        <w:rPr>
          <w:rFonts w:asciiTheme="majorBidi" w:eastAsia="Calibri" w:hAnsiTheme="majorBidi" w:cstheme="majorBidi"/>
          <w:b/>
          <w:sz w:val="24"/>
          <w:szCs w:val="24"/>
        </w:rPr>
      </w:pPr>
    </w:p>
    <w:p w14:paraId="6D35EE78" w14:textId="07C82828" w:rsidR="00CC3E4B" w:rsidRPr="00BC459D" w:rsidRDefault="00D4173C" w:rsidP="00EA6CDB">
      <w:pPr>
        <w:spacing w:after="0" w:line="240" w:lineRule="atLeast"/>
        <w:jc w:val="center"/>
        <w:rPr>
          <w:rFonts w:asciiTheme="majorBidi" w:eastAsia="Calibri" w:hAnsiTheme="majorBidi" w:cstheme="majorBidi"/>
          <w:b/>
          <w:sz w:val="24"/>
          <w:szCs w:val="24"/>
        </w:rPr>
      </w:pPr>
      <w:r w:rsidRPr="00BC459D">
        <w:rPr>
          <w:rFonts w:asciiTheme="majorBidi" w:eastAsia="Calibri" w:hAnsiTheme="majorBidi" w:cstheme="majorBidi"/>
          <w:b/>
          <w:sz w:val="24"/>
          <w:szCs w:val="24"/>
        </w:rPr>
        <w:t>1</w:t>
      </w:r>
      <w:r w:rsidR="00C777CF">
        <w:rPr>
          <w:rFonts w:asciiTheme="majorBidi" w:eastAsia="Calibri" w:hAnsiTheme="majorBidi" w:cstheme="majorBidi"/>
          <w:b/>
          <w:sz w:val="24"/>
          <w:szCs w:val="24"/>
        </w:rPr>
        <w:t>9</w:t>
      </w:r>
      <w:r w:rsidR="0057184B" w:rsidRPr="00BC459D">
        <w:rPr>
          <w:rFonts w:asciiTheme="majorBidi" w:eastAsia="Calibri" w:hAnsiTheme="majorBidi" w:cstheme="majorBidi"/>
          <w:b/>
          <w:sz w:val="24"/>
          <w:szCs w:val="24"/>
        </w:rPr>
        <w:t xml:space="preserve"> October</w:t>
      </w:r>
      <w:r w:rsidR="00D16E7A" w:rsidRPr="00BC459D">
        <w:rPr>
          <w:rFonts w:asciiTheme="majorBidi" w:eastAsia="Calibri" w:hAnsiTheme="majorBidi" w:cstheme="majorBidi"/>
          <w:b/>
          <w:sz w:val="24"/>
          <w:szCs w:val="24"/>
        </w:rPr>
        <w:t xml:space="preserve"> 2025</w:t>
      </w:r>
    </w:p>
    <w:p w14:paraId="490A6A14" w14:textId="77777777" w:rsidR="00CC3E4B" w:rsidRPr="00BC459D"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BC459D"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BC459D">
        <w:rPr>
          <w:rFonts w:asciiTheme="majorBidi" w:eastAsia="Palatino Linotype" w:hAnsiTheme="majorBidi" w:cstheme="majorBidi"/>
          <w:b/>
          <w:sz w:val="24"/>
          <w:szCs w:val="24"/>
        </w:rPr>
        <w:t>Highlights</w:t>
      </w:r>
      <w:bookmarkStart w:id="1" w:name="_Hlk172814707"/>
      <w:r w:rsidRPr="00BC459D">
        <w:rPr>
          <w:rFonts w:asciiTheme="majorBidi" w:eastAsia="Aptos" w:hAnsiTheme="majorBidi" w:cstheme="majorBidi"/>
          <w:i/>
          <w:iCs/>
          <w:sz w:val="24"/>
          <w:szCs w:val="24"/>
          <w14:ligatures w14:val="standardContextual"/>
        </w:rPr>
        <w:t xml:space="preserve"> </w:t>
      </w:r>
    </w:p>
    <w:p w14:paraId="7296F8CD" w14:textId="3D86EE0D" w:rsidR="002C49AB" w:rsidRPr="00BC459D"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BC459D">
        <w:rPr>
          <w:rFonts w:asciiTheme="majorBidi" w:eastAsia="Aptos" w:hAnsiTheme="majorBidi" w:cstheme="majorBidi"/>
          <w:i/>
          <w:iCs/>
          <w:sz w:val="24"/>
          <w:szCs w:val="24"/>
          <w14:ligatures w14:val="standardContextual"/>
        </w:rPr>
        <w:t xml:space="preserve"> </w:t>
      </w:r>
    </w:p>
    <w:p w14:paraId="597BFAE0" w14:textId="761815F4" w:rsidR="00C777CF" w:rsidRPr="00C777CF" w:rsidRDefault="00C777CF" w:rsidP="00C777CF">
      <w:pPr>
        <w:pStyle w:val="ListParagraph"/>
        <w:numPr>
          <w:ilvl w:val="0"/>
          <w:numId w:val="15"/>
        </w:numPr>
        <w:spacing w:after="160" w:line="259" w:lineRule="auto"/>
        <w:jc w:val="both"/>
        <w:rPr>
          <w:rFonts w:asciiTheme="majorBidi" w:hAnsiTheme="majorBidi" w:cstheme="majorBidi"/>
          <w:i/>
          <w:iCs/>
          <w:sz w:val="24"/>
          <w:szCs w:val="24"/>
        </w:rPr>
      </w:pPr>
      <w:bookmarkStart w:id="2" w:name="_Hlk198224089"/>
      <w:bookmarkEnd w:id="1"/>
      <w:r w:rsidRPr="00C777CF">
        <w:rPr>
          <w:rFonts w:asciiTheme="majorBidi" w:hAnsiTheme="majorBidi" w:cstheme="majorBidi"/>
          <w:i/>
          <w:iCs/>
          <w:sz w:val="24"/>
          <w:szCs w:val="24"/>
        </w:rPr>
        <w:t xml:space="preserve">HRD followed up on clashes between government security forces and the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in Rubkona County, Unity State</w:t>
      </w:r>
    </w:p>
    <w:p w14:paraId="0E3AEB97" w14:textId="1AEB8C8F" w:rsidR="00062BAB" w:rsidRPr="00BC459D" w:rsidRDefault="00062BAB" w:rsidP="00C777CF">
      <w:pPr>
        <w:pStyle w:val="ListParagraph"/>
        <w:spacing w:after="160" w:line="259" w:lineRule="auto"/>
        <w:jc w:val="both"/>
        <w:rPr>
          <w:rFonts w:asciiTheme="majorBidi" w:eastAsia="Times New Roman" w:hAnsiTheme="majorBidi" w:cstheme="majorBidi"/>
          <w:b/>
          <w:bCs/>
          <w:color w:val="212121"/>
          <w:sz w:val="24"/>
          <w:szCs w:val="24"/>
        </w:rPr>
      </w:pPr>
    </w:p>
    <w:p w14:paraId="462E58E5" w14:textId="7E388D0D" w:rsidR="00AC0C4F" w:rsidRPr="00C777CF" w:rsidRDefault="00CC3E4B" w:rsidP="00D85E0B">
      <w:pPr>
        <w:pStyle w:val="ListParagraph"/>
        <w:numPr>
          <w:ilvl w:val="0"/>
          <w:numId w:val="1"/>
        </w:num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r w:rsidRPr="00C777CF">
        <w:rPr>
          <w:rFonts w:asciiTheme="majorBidi" w:eastAsia="Calibri" w:hAnsiTheme="majorBidi" w:cstheme="majorBidi"/>
          <w:b/>
          <w:bCs/>
          <w:sz w:val="24"/>
          <w:szCs w:val="24"/>
        </w:rPr>
        <w:t>Political and Security Update</w:t>
      </w:r>
    </w:p>
    <w:p w14:paraId="321BB6AD" w14:textId="77777777" w:rsidR="00C777CF" w:rsidRDefault="00C777CF" w:rsidP="00C777CF">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06854825" w14:textId="0079D9EE" w:rsidR="00C777CF" w:rsidRPr="00191ACE" w:rsidRDefault="00C777CF" w:rsidP="00C777CF">
      <w:pPr>
        <w:pStyle w:val="ListParagraph"/>
        <w:numPr>
          <w:ilvl w:val="0"/>
          <w:numId w:val="16"/>
        </w:numPr>
        <w:spacing w:after="160" w:line="259" w:lineRule="auto"/>
        <w:jc w:val="both"/>
        <w:rPr>
          <w:rFonts w:asciiTheme="majorBidi" w:hAnsiTheme="majorBidi" w:cstheme="majorBidi"/>
          <w:b/>
          <w:bCs/>
          <w:sz w:val="24"/>
          <w:szCs w:val="24"/>
        </w:rPr>
      </w:pPr>
      <w:r w:rsidRPr="00191ACE">
        <w:rPr>
          <w:rFonts w:asciiTheme="majorBidi" w:hAnsiTheme="majorBidi" w:cstheme="majorBidi"/>
          <w:b/>
          <w:bCs/>
          <w:sz w:val="24"/>
          <w:szCs w:val="24"/>
        </w:rPr>
        <w:t xml:space="preserve">HRD followed up on clashes between government security forces and the </w:t>
      </w:r>
      <w:r w:rsidR="00565E23">
        <w:rPr>
          <w:rFonts w:asciiTheme="majorBidi" w:hAnsiTheme="majorBidi" w:cstheme="majorBidi"/>
          <w:b/>
          <w:bCs/>
          <w:sz w:val="24"/>
          <w:szCs w:val="24"/>
        </w:rPr>
        <w:t>SPLA-IO</w:t>
      </w:r>
      <w:r w:rsidRPr="00191ACE">
        <w:rPr>
          <w:rFonts w:asciiTheme="majorBidi" w:hAnsiTheme="majorBidi" w:cstheme="majorBidi"/>
          <w:b/>
          <w:bCs/>
          <w:sz w:val="24"/>
          <w:szCs w:val="24"/>
        </w:rPr>
        <w:t xml:space="preserve"> in Rubkona County, Unity State</w:t>
      </w:r>
    </w:p>
    <w:p w14:paraId="422D5AB4" w14:textId="5BE68293" w:rsidR="00C777CF" w:rsidRPr="00191ACE" w:rsidRDefault="00C777CF" w:rsidP="00C777CF">
      <w:pPr>
        <w:jc w:val="both"/>
        <w:rPr>
          <w:rFonts w:asciiTheme="majorBidi" w:hAnsiTheme="majorBidi" w:cstheme="majorBidi"/>
          <w:sz w:val="24"/>
          <w:szCs w:val="24"/>
        </w:rPr>
      </w:pPr>
      <w:r w:rsidRPr="00191ACE">
        <w:rPr>
          <w:rFonts w:asciiTheme="majorBidi" w:hAnsiTheme="majorBidi" w:cstheme="majorBidi"/>
          <w:sz w:val="24"/>
          <w:szCs w:val="24"/>
        </w:rPr>
        <w:t xml:space="preserve">On 19 October 2025, HRD received information about reported clashes earlier on the same day between the SSPDF and the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in Rubkona County, Unity State. HRD spoke with five sources in Unity State (including the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Sector 2 spokesperson in Tong, the SSNPS spokesperson in Bentiu, an SSPDF officer in Division 4, and an NPSSS officer in Kaikang- Mayom). According to the sources, at around 5am on 19 October 2025, government security forces (SSPDF and SSNPS personnel) supported by South Sudan Opposition Alliance (SSOA) forces from the Bong cantonment site (Mayom County), launched an attack on a group of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soldiers in the Chotchara area of Rubkona County, at the border with Mayom County. Some of the sources noted that the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forces were members of the VIP protection force (Necessary Unified Forces- NUF) who had retreated from Abyei Administrative Area and were enroute to the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barracks in Tong following deadly clashes between the SSPDF and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in Athony (</w:t>
      </w:r>
      <w:r w:rsidRPr="00191ACE">
        <w:rPr>
          <w:rFonts w:asciiTheme="majorBidi" w:hAnsiTheme="majorBidi" w:cstheme="majorBidi"/>
          <w:i/>
          <w:iCs/>
          <w:sz w:val="24"/>
          <w:szCs w:val="24"/>
        </w:rPr>
        <w:t>see HRD Bentiu FO DSRs of 7, 15</w:t>
      </w:r>
      <w:r w:rsidR="00F32476">
        <w:rPr>
          <w:rFonts w:asciiTheme="majorBidi" w:hAnsiTheme="majorBidi" w:cstheme="majorBidi"/>
          <w:i/>
          <w:iCs/>
          <w:sz w:val="24"/>
          <w:szCs w:val="24"/>
        </w:rPr>
        <w:t>,</w:t>
      </w:r>
      <w:r w:rsidRPr="00191ACE">
        <w:rPr>
          <w:rFonts w:asciiTheme="majorBidi" w:hAnsiTheme="majorBidi" w:cstheme="majorBidi"/>
          <w:i/>
          <w:iCs/>
          <w:sz w:val="24"/>
          <w:szCs w:val="24"/>
        </w:rPr>
        <w:t xml:space="preserve"> 16</w:t>
      </w:r>
      <w:r w:rsidR="00F32476">
        <w:rPr>
          <w:rFonts w:asciiTheme="majorBidi" w:hAnsiTheme="majorBidi" w:cstheme="majorBidi"/>
          <w:i/>
          <w:iCs/>
          <w:sz w:val="24"/>
          <w:szCs w:val="24"/>
        </w:rPr>
        <w:t xml:space="preserve"> and 17</w:t>
      </w:r>
      <w:r w:rsidRPr="00191ACE">
        <w:rPr>
          <w:rFonts w:asciiTheme="majorBidi" w:hAnsiTheme="majorBidi" w:cstheme="majorBidi"/>
          <w:i/>
          <w:iCs/>
          <w:sz w:val="24"/>
          <w:szCs w:val="24"/>
        </w:rPr>
        <w:t xml:space="preserve"> October</w:t>
      </w:r>
      <w:r w:rsidR="00F32476">
        <w:rPr>
          <w:rFonts w:asciiTheme="majorBidi" w:hAnsiTheme="majorBidi" w:cstheme="majorBidi"/>
          <w:i/>
          <w:iCs/>
          <w:sz w:val="24"/>
          <w:szCs w:val="24"/>
        </w:rPr>
        <w:t xml:space="preserve"> 2025</w:t>
      </w:r>
      <w:r w:rsidRPr="00191ACE">
        <w:rPr>
          <w:rFonts w:asciiTheme="majorBidi" w:hAnsiTheme="majorBidi" w:cstheme="majorBidi"/>
          <w:sz w:val="24"/>
          <w:szCs w:val="24"/>
        </w:rPr>
        <w:t>). According to the sources, the ensuing clashes resulted in the killing of three government security personnel (two SSNPS -a 2</w:t>
      </w:r>
      <w:r w:rsidRPr="00191ACE">
        <w:rPr>
          <w:rFonts w:asciiTheme="majorBidi" w:hAnsiTheme="majorBidi" w:cstheme="majorBidi"/>
          <w:sz w:val="24"/>
          <w:szCs w:val="24"/>
          <w:vertAlign w:val="superscript"/>
        </w:rPr>
        <w:t>nd</w:t>
      </w:r>
      <w:r w:rsidRPr="00191ACE">
        <w:rPr>
          <w:rFonts w:asciiTheme="majorBidi" w:hAnsiTheme="majorBidi" w:cstheme="majorBidi"/>
          <w:sz w:val="24"/>
          <w:szCs w:val="24"/>
        </w:rPr>
        <w:t xml:space="preserve"> Lieutenant and a private- and one SSPDF soldier), the injuring of two SSPDF soldiers and four SSOA personnel, the killing of one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soldier (a captain) and the injuring of two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personnel. Reportedly, the SSPDF officer killed is a close relative of the former Unity State Governor, Joseph Manyutuil.  The </w:t>
      </w:r>
      <w:r w:rsidR="00565E23">
        <w:rPr>
          <w:rFonts w:asciiTheme="majorBidi" w:hAnsiTheme="majorBidi" w:cstheme="majorBidi"/>
          <w:sz w:val="24"/>
          <w:szCs w:val="24"/>
        </w:rPr>
        <w:t>SPLA-IO</w:t>
      </w:r>
      <w:r w:rsidRPr="00191ACE">
        <w:rPr>
          <w:rFonts w:asciiTheme="majorBidi" w:hAnsiTheme="majorBidi" w:cstheme="majorBidi"/>
          <w:sz w:val="24"/>
          <w:szCs w:val="24"/>
        </w:rPr>
        <w:t xml:space="preserve"> informed that the VIP protection forces that came under attack were an additional group, separate from those that were involved in a clash with government security forces on 15 October between Kaikang and Bornyang areas in Mayom County. The sources informed that the injured government security forces were taken to Bentiu for medical attention. </w:t>
      </w:r>
    </w:p>
    <w:p w14:paraId="79F56E34" w14:textId="5D916D45" w:rsidR="00C777CF" w:rsidRPr="00C777CF" w:rsidRDefault="00C777CF" w:rsidP="00C777CF">
      <w:pPr>
        <w:jc w:val="both"/>
        <w:rPr>
          <w:rFonts w:asciiTheme="majorBidi" w:hAnsiTheme="majorBidi" w:cstheme="majorBidi"/>
          <w:i/>
          <w:iCs/>
          <w:sz w:val="24"/>
          <w:szCs w:val="24"/>
        </w:rPr>
      </w:pPr>
      <w:r w:rsidRPr="00191ACE">
        <w:rPr>
          <w:rFonts w:asciiTheme="majorBidi" w:hAnsiTheme="majorBidi" w:cstheme="majorBidi"/>
          <w:b/>
          <w:bCs/>
          <w:sz w:val="24"/>
          <w:szCs w:val="24"/>
        </w:rPr>
        <w:t>Comments</w:t>
      </w:r>
      <w:r w:rsidRPr="00191ACE">
        <w:rPr>
          <w:rFonts w:asciiTheme="majorBidi" w:hAnsiTheme="majorBidi" w:cstheme="majorBidi"/>
          <w:sz w:val="24"/>
          <w:szCs w:val="24"/>
        </w:rPr>
        <w:t xml:space="preserve">: </w:t>
      </w:r>
      <w:r w:rsidRPr="00C777CF">
        <w:rPr>
          <w:rFonts w:asciiTheme="majorBidi" w:hAnsiTheme="majorBidi" w:cstheme="majorBidi"/>
          <w:i/>
          <w:iCs/>
          <w:sz w:val="24"/>
          <w:szCs w:val="24"/>
        </w:rPr>
        <w:t xml:space="preserve">Reportedly, tensions are very high between the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and government security forces in Rubkona County and some other parts of Unity State. There is the high likelihood of an escalation of fighting between the two parties and their allies, especially in the context of the clashes of 15 and 19 October, with the latter resulting in casualties. This also comes in the context of tensions generated by the ongoing trial of the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Chairperson and senior officials, recent orders by the SSPDF</w:t>
      </w:r>
      <w:r w:rsidR="00E87FCE">
        <w:rPr>
          <w:rFonts w:asciiTheme="majorBidi" w:hAnsiTheme="majorBidi" w:cstheme="majorBidi"/>
          <w:i/>
          <w:iCs/>
          <w:sz w:val="24"/>
          <w:szCs w:val="24"/>
        </w:rPr>
        <w:t xml:space="preserve">, through its spokesperson in </w:t>
      </w:r>
      <w:r w:rsidR="00F32476">
        <w:rPr>
          <w:rFonts w:asciiTheme="majorBidi" w:hAnsiTheme="majorBidi" w:cstheme="majorBidi"/>
          <w:i/>
          <w:iCs/>
          <w:sz w:val="24"/>
          <w:szCs w:val="24"/>
        </w:rPr>
        <w:t xml:space="preserve">Juba, </w:t>
      </w:r>
      <w:r w:rsidR="00F32476" w:rsidRPr="00C777CF">
        <w:rPr>
          <w:rFonts w:asciiTheme="majorBidi" w:hAnsiTheme="majorBidi" w:cstheme="majorBidi"/>
          <w:i/>
          <w:iCs/>
          <w:sz w:val="24"/>
          <w:szCs w:val="24"/>
        </w:rPr>
        <w:t>for</w:t>
      </w:r>
      <w:r w:rsidRPr="00C777CF">
        <w:rPr>
          <w:rFonts w:asciiTheme="majorBidi" w:hAnsiTheme="majorBidi" w:cstheme="majorBidi"/>
          <w:i/>
          <w:iCs/>
          <w:sz w:val="24"/>
          <w:szCs w:val="24"/>
        </w:rPr>
        <w:t xml:space="preserve">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w:t>
      </w:r>
      <w:r w:rsidR="00565E23">
        <w:rPr>
          <w:rFonts w:asciiTheme="majorBidi" w:hAnsiTheme="majorBidi" w:cstheme="majorBidi"/>
          <w:i/>
          <w:iCs/>
          <w:sz w:val="24"/>
          <w:szCs w:val="24"/>
        </w:rPr>
        <w:t>forces</w:t>
      </w:r>
      <w:r w:rsidRPr="00C777CF">
        <w:rPr>
          <w:rFonts w:asciiTheme="majorBidi" w:hAnsiTheme="majorBidi" w:cstheme="majorBidi"/>
          <w:i/>
          <w:iCs/>
          <w:sz w:val="24"/>
          <w:szCs w:val="24"/>
        </w:rPr>
        <w:t xml:space="preserve"> to report to SSPDF barracks and for government security </w:t>
      </w:r>
      <w:r w:rsidRPr="00C777CF">
        <w:rPr>
          <w:rFonts w:asciiTheme="majorBidi" w:hAnsiTheme="majorBidi" w:cstheme="majorBidi"/>
          <w:i/>
          <w:iCs/>
          <w:sz w:val="24"/>
          <w:szCs w:val="24"/>
        </w:rPr>
        <w:lastRenderedPageBreak/>
        <w:t xml:space="preserve">forces to forcibly dismantle “illegal checkpoints”. Additionally, there have been accusations and reports of recruitments and mobilization by both the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and government security forces, which is an indicator of possible preparation for attacks or confrontations. With the convergence in Tong (a few kilometers from Bentiu and Rubkona towns) of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forces from Abyei in addition to the existing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Sector 2, Division 4A forces in the area, the situation could prove explosive if not urgently addressed. During a meeting HRD and UNMO had with the SSPDF Division 4 commander on 17 October, he informed that the chain of communication between the SSPDF/Unity State Governor and the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in Division 4A (including with the </w:t>
      </w:r>
      <w:r w:rsidR="00565E23">
        <w:rPr>
          <w:rFonts w:asciiTheme="majorBidi" w:hAnsiTheme="majorBidi" w:cstheme="majorBidi"/>
          <w:i/>
          <w:iCs/>
          <w:sz w:val="24"/>
          <w:szCs w:val="24"/>
        </w:rPr>
        <w:t>SPLA-IO</w:t>
      </w:r>
      <w:r w:rsidRPr="00C777CF">
        <w:rPr>
          <w:rFonts w:asciiTheme="majorBidi" w:hAnsiTheme="majorBidi" w:cstheme="majorBidi"/>
          <w:i/>
          <w:iCs/>
          <w:sz w:val="24"/>
          <w:szCs w:val="24"/>
        </w:rPr>
        <w:t xml:space="preserve"> Division 4A commander General John Turuk) was very strained. He urged UNMISS to intervene and welcomed the idea of UNMISS urgently facilitating dialogue between the two parties. During the same meeting, HRD had reminded the SSPDF commander and senior officers about the human rights and IHL obligations of the SSPDF and the need to put the protection of civilians at the center of all their actions and operations. The UNMISS team also reminded the commander of the indispensable need for all parties to respect the peace agreement, with the commander re-echoing its importance. Any further fighting between the parties would put civilians in Rubkona County and Unity State at serious risk of violations including killing, injury, (re)displacement, forced recruitments and destruction of property, in the context of severe flooding. There is the urgent need to get the two parties to cease hostilities and repair the collapsing cordial relations they had enjoyed for a while. HRD will continue to gather more details and update accordingly.</w:t>
      </w:r>
    </w:p>
    <w:p w14:paraId="4A5E5AD0" w14:textId="77777777" w:rsidR="00C777CF" w:rsidRPr="00C777CF" w:rsidRDefault="00C777CF" w:rsidP="00C777CF">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60B2A229" w14:textId="7110492E" w:rsidR="00283E27" w:rsidRPr="00BC459D" w:rsidRDefault="00CC3E4B" w:rsidP="000A495E">
      <w:pPr>
        <w:pStyle w:val="ListParagraph"/>
        <w:numPr>
          <w:ilvl w:val="0"/>
          <w:numId w:val="1"/>
        </w:numPr>
        <w:spacing w:line="240" w:lineRule="atLeast"/>
        <w:jc w:val="both"/>
        <w:rPr>
          <w:rFonts w:asciiTheme="majorBidi" w:eastAsia="Palatino Linotype" w:hAnsiTheme="majorBidi" w:cstheme="majorBidi"/>
          <w:b/>
          <w:bCs/>
          <w:sz w:val="24"/>
          <w:szCs w:val="24"/>
        </w:rPr>
      </w:pPr>
      <w:r w:rsidRPr="00BC459D">
        <w:rPr>
          <w:rFonts w:asciiTheme="majorBidi" w:eastAsia="Palatino Linotype" w:hAnsiTheme="majorBidi" w:cstheme="majorBidi"/>
          <w:b/>
          <w:bCs/>
          <w:sz w:val="24"/>
          <w:szCs w:val="24"/>
        </w:rPr>
        <w:t>Human Rights in the Electoral Process</w:t>
      </w:r>
      <w:r w:rsidR="00062BAB" w:rsidRPr="00BC459D">
        <w:rPr>
          <w:rFonts w:asciiTheme="majorBidi" w:eastAsia="Palatino Linotype" w:hAnsiTheme="majorBidi" w:cstheme="majorBidi"/>
          <w:b/>
          <w:bCs/>
          <w:sz w:val="24"/>
          <w:szCs w:val="24"/>
        </w:rPr>
        <w:t>.</w:t>
      </w:r>
    </w:p>
    <w:p w14:paraId="64B01165" w14:textId="34D71A9B" w:rsidR="00062BAB" w:rsidRPr="00BC459D" w:rsidRDefault="00D45CD8" w:rsidP="00693864">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C</w:t>
      </w:r>
      <w:r w:rsidR="00CC3E4B" w:rsidRPr="00BC459D">
        <w:rPr>
          <w:rFonts w:asciiTheme="majorBidi" w:eastAsia="Palatino Linotype" w:hAnsiTheme="majorBidi" w:cstheme="majorBidi"/>
          <w:b/>
          <w:sz w:val="24"/>
          <w:szCs w:val="24"/>
        </w:rPr>
        <w:t>onflict-Related Violations/Abuses</w:t>
      </w:r>
    </w:p>
    <w:p w14:paraId="4A20ACC7" w14:textId="0D5AE383" w:rsidR="00CC3E4B" w:rsidRPr="00BC459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Conflict-Related Sexual Violence (CRSV)</w:t>
      </w:r>
    </w:p>
    <w:p w14:paraId="4CFA5931" w14:textId="60506E0B" w:rsidR="007A4B4B" w:rsidRPr="00BC459D"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Gender-Based Violence (SGBV)</w:t>
      </w:r>
    </w:p>
    <w:p w14:paraId="62015193" w14:textId="77777777" w:rsidR="00CC3E4B" w:rsidRPr="00BC459D"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3" w:name="_Hlk155890358"/>
      <w:r w:rsidRPr="00BC459D">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BC459D"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Accountability</w:t>
      </w:r>
    </w:p>
    <w:p w14:paraId="4EA3A3C9" w14:textId="28F0674C" w:rsidR="00AC26F1" w:rsidRPr="00BC459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Transitional Justice</w:t>
      </w:r>
      <w:r w:rsidR="00AC26F1" w:rsidRPr="00BC459D">
        <w:rPr>
          <w:rFonts w:asciiTheme="majorBidi" w:eastAsia="Palatino Linotype" w:hAnsiTheme="majorBidi" w:cstheme="majorBidi"/>
          <w:b/>
          <w:sz w:val="24"/>
          <w:szCs w:val="24"/>
        </w:rPr>
        <w:t>.</w:t>
      </w:r>
    </w:p>
    <w:p w14:paraId="54581CE3" w14:textId="7617AB6E" w:rsidR="00BA2489" w:rsidRPr="00BC459D"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BC459D">
        <w:rPr>
          <w:rFonts w:asciiTheme="majorBidi" w:eastAsia="Palatino Linotype" w:hAnsiTheme="majorBidi" w:cstheme="majorBidi"/>
          <w:b/>
          <w:sz w:val="24"/>
          <w:szCs w:val="24"/>
        </w:rPr>
        <w:t>Engagement and Capacity Building</w:t>
      </w:r>
      <w:r w:rsidR="00F34260" w:rsidRPr="00BC459D">
        <w:rPr>
          <w:rFonts w:asciiTheme="majorBidi" w:eastAsia="Palatino Linotype" w:hAnsiTheme="majorBidi" w:cstheme="majorBidi"/>
          <w:bCs/>
          <w:i/>
          <w:iCs/>
          <w:sz w:val="24"/>
          <w:szCs w:val="24"/>
        </w:rPr>
        <w:t xml:space="preserve">. </w:t>
      </w:r>
    </w:p>
    <w:p w14:paraId="414C0FB6" w14:textId="0AAE998F" w:rsidR="00872A4D" w:rsidRPr="00BC459D" w:rsidRDefault="00CC3E4B" w:rsidP="00BE3EE6">
      <w:pPr>
        <w:numPr>
          <w:ilvl w:val="0"/>
          <w:numId w:val="1"/>
        </w:numPr>
        <w:spacing w:after="0" w:line="240" w:lineRule="atLeast"/>
        <w:ind w:left="284"/>
        <w:contextualSpacing/>
        <w:jc w:val="both"/>
        <w:rPr>
          <w:rFonts w:asciiTheme="majorBidi" w:eastAsia="Palatino Linotype" w:hAnsiTheme="majorBidi" w:cstheme="majorBidi"/>
          <w:bCs/>
          <w:sz w:val="24"/>
          <w:szCs w:val="24"/>
        </w:rPr>
      </w:pPr>
      <w:r w:rsidRPr="00BC459D">
        <w:rPr>
          <w:rFonts w:asciiTheme="majorBidi" w:eastAsia="Palatino Linotype" w:hAnsiTheme="majorBidi" w:cstheme="majorBidi"/>
          <w:b/>
          <w:sz w:val="24"/>
          <w:szCs w:val="24"/>
        </w:rPr>
        <w:t>Other Key Human Rights and Protection Concerns.</w:t>
      </w:r>
    </w:p>
    <w:sectPr w:rsidR="00872A4D" w:rsidRPr="00BC459D"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1F578" w14:textId="77777777" w:rsidR="008D4567" w:rsidRDefault="008D4567" w:rsidP="004C4101">
      <w:pPr>
        <w:spacing w:after="0" w:line="240" w:lineRule="auto"/>
      </w:pPr>
      <w:r>
        <w:separator/>
      </w:r>
    </w:p>
  </w:endnote>
  <w:endnote w:type="continuationSeparator" w:id="0">
    <w:p w14:paraId="2182A969" w14:textId="77777777" w:rsidR="008D4567" w:rsidRDefault="008D4567"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704CACC8"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D4173C">
          <w:rPr>
            <w:rFonts w:ascii="Times New Roman" w:hAnsi="Times New Roman" w:cs="Times New Roman"/>
            <w:color w:val="0070C0"/>
            <w:sz w:val="20"/>
            <w:szCs w:val="20"/>
          </w:rPr>
          <w:t>1</w:t>
        </w:r>
        <w:r w:rsidR="00C777CF">
          <w:rPr>
            <w:rFonts w:ascii="Times New Roman" w:hAnsi="Times New Roman" w:cs="Times New Roman"/>
            <w:color w:val="0070C0"/>
            <w:sz w:val="20"/>
            <w:szCs w:val="20"/>
          </w:rPr>
          <w:t>9</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D7DFF" w14:textId="77777777" w:rsidR="008D4567" w:rsidRDefault="008D4567" w:rsidP="004C4101">
      <w:pPr>
        <w:spacing w:after="0" w:line="240" w:lineRule="auto"/>
      </w:pPr>
      <w:r>
        <w:separator/>
      </w:r>
    </w:p>
  </w:footnote>
  <w:footnote w:type="continuationSeparator" w:id="0">
    <w:p w14:paraId="0EB846EC" w14:textId="77777777" w:rsidR="008D4567" w:rsidRDefault="008D4567"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3A29F3"/>
    <w:multiLevelType w:val="hybridMultilevel"/>
    <w:tmpl w:val="17C2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4"/>
  </w:num>
  <w:num w:numId="2" w16cid:durableId="395399109">
    <w:abstractNumId w:val="2"/>
  </w:num>
  <w:num w:numId="3" w16cid:durableId="1713265759">
    <w:abstractNumId w:val="0"/>
  </w:num>
  <w:num w:numId="4" w16cid:durableId="802162705">
    <w:abstractNumId w:val="3"/>
  </w:num>
  <w:num w:numId="5" w16cid:durableId="1092363264">
    <w:abstractNumId w:val="8"/>
  </w:num>
  <w:num w:numId="6" w16cid:durableId="734858615">
    <w:abstractNumId w:val="4"/>
  </w:num>
  <w:num w:numId="7" w16cid:durableId="186795121">
    <w:abstractNumId w:val="9"/>
  </w:num>
  <w:num w:numId="8" w16cid:durableId="1151023901">
    <w:abstractNumId w:val="7"/>
  </w:num>
  <w:num w:numId="9" w16cid:durableId="49310161">
    <w:abstractNumId w:val="10"/>
  </w:num>
  <w:num w:numId="10" w16cid:durableId="540361275">
    <w:abstractNumId w:val="1"/>
  </w:num>
  <w:num w:numId="11" w16cid:durableId="1405254272">
    <w:abstractNumId w:val="12"/>
  </w:num>
  <w:num w:numId="12" w16cid:durableId="746726826">
    <w:abstractNumId w:val="11"/>
  </w:num>
  <w:num w:numId="13" w16cid:durableId="2008433917">
    <w:abstractNumId w:val="5"/>
  </w:num>
  <w:num w:numId="14" w16cid:durableId="1071661601">
    <w:abstractNumId w:val="6"/>
  </w:num>
  <w:num w:numId="15" w16cid:durableId="1199465848">
    <w:abstractNumId w:val="15"/>
  </w:num>
  <w:num w:numId="16" w16cid:durableId="1252660467">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E6"/>
    <w:rsid w:val="000761BF"/>
    <w:rsid w:val="00076A58"/>
    <w:rsid w:val="000774A1"/>
    <w:rsid w:val="00077BCF"/>
    <w:rsid w:val="00085B02"/>
    <w:rsid w:val="00087043"/>
    <w:rsid w:val="000966F6"/>
    <w:rsid w:val="000A01AD"/>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5C39"/>
    <w:rsid w:val="00406B02"/>
    <w:rsid w:val="00406C04"/>
    <w:rsid w:val="00407CE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1C3A"/>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47A"/>
    <w:rsid w:val="0078262F"/>
    <w:rsid w:val="00783419"/>
    <w:rsid w:val="00791396"/>
    <w:rsid w:val="007913CF"/>
    <w:rsid w:val="00796120"/>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63C1"/>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459D"/>
    <w:rsid w:val="00BC684B"/>
    <w:rsid w:val="00BC6C63"/>
    <w:rsid w:val="00BC7BD3"/>
    <w:rsid w:val="00BD037B"/>
    <w:rsid w:val="00BD07D0"/>
    <w:rsid w:val="00BD2CBB"/>
    <w:rsid w:val="00BD6691"/>
    <w:rsid w:val="00BE1B3A"/>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6D4C"/>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7CF"/>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3842"/>
    <w:rsid w:val="00CE45C0"/>
    <w:rsid w:val="00CE45DF"/>
    <w:rsid w:val="00CE6F81"/>
    <w:rsid w:val="00CF1E33"/>
    <w:rsid w:val="00CF33FE"/>
    <w:rsid w:val="00CF3D2A"/>
    <w:rsid w:val="00D003F0"/>
    <w:rsid w:val="00D004D0"/>
    <w:rsid w:val="00D00DEF"/>
    <w:rsid w:val="00D00F22"/>
    <w:rsid w:val="00D1117B"/>
    <w:rsid w:val="00D1678D"/>
    <w:rsid w:val="00D16E7A"/>
    <w:rsid w:val="00D1751C"/>
    <w:rsid w:val="00D17CCF"/>
    <w:rsid w:val="00D17DC3"/>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87FCE"/>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3BCC"/>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9</cp:revision>
  <dcterms:created xsi:type="dcterms:W3CDTF">2025-10-19T18:07:00Z</dcterms:created>
  <dcterms:modified xsi:type="dcterms:W3CDTF">2025-10-19T18:12:00Z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