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22134368"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3768F613" w:rsidR="00C86453" w:rsidRPr="00E568D8" w:rsidRDefault="0070399E"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w:t>
      </w:r>
      <w:r w:rsidR="00F42833">
        <w:rPr>
          <w:rFonts w:asciiTheme="majorBidi" w:eastAsia="Times New Roman" w:hAnsiTheme="majorBidi" w:cstheme="majorBidi"/>
          <w:b/>
          <w:sz w:val="24"/>
          <w:szCs w:val="24"/>
        </w:rPr>
        <w:t>6</w:t>
      </w:r>
      <w:r w:rsidR="00FD2F92">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54C0D806" w14:textId="77777777" w:rsidR="00F42833" w:rsidRPr="00FD2F92" w:rsidRDefault="00F42833" w:rsidP="00F42833">
      <w:pPr>
        <w:pStyle w:val="ListParagraph"/>
        <w:numPr>
          <w:ilvl w:val="0"/>
          <w:numId w:val="12"/>
        </w:numPr>
        <w:spacing w:after="160"/>
        <w:jc w:val="both"/>
        <w:rPr>
          <w:rFonts w:asciiTheme="majorBidi" w:hAnsiTheme="majorBidi" w:cstheme="majorBidi"/>
          <w:b/>
          <w:bCs/>
          <w:sz w:val="24"/>
          <w:szCs w:val="24"/>
        </w:rPr>
      </w:pPr>
      <w:r w:rsidRPr="00FD2F92">
        <w:rPr>
          <w:rFonts w:asciiTheme="majorBidi" w:hAnsiTheme="majorBidi" w:cstheme="majorBidi"/>
          <w:b/>
          <w:bCs/>
          <w:sz w:val="24"/>
          <w:szCs w:val="24"/>
        </w:rPr>
        <w:t>HRD attended the</w:t>
      </w:r>
      <w:r>
        <w:rPr>
          <w:rFonts w:asciiTheme="majorBidi" w:hAnsiTheme="majorBidi" w:cstheme="majorBidi"/>
          <w:b/>
          <w:bCs/>
          <w:sz w:val="24"/>
          <w:szCs w:val="24"/>
        </w:rPr>
        <w:t xml:space="preserve"> fourth </w:t>
      </w:r>
      <w:r w:rsidRPr="00FD2F92">
        <w:rPr>
          <w:rFonts w:asciiTheme="majorBidi" w:hAnsiTheme="majorBidi" w:cstheme="majorBidi"/>
          <w:b/>
          <w:bCs/>
          <w:sz w:val="24"/>
          <w:szCs w:val="24"/>
        </w:rPr>
        <w:t xml:space="preserve">court hearing of gang rape of a 16-year-old Dinka girl by a group of </w:t>
      </w:r>
      <w:r>
        <w:rPr>
          <w:rFonts w:asciiTheme="majorBidi" w:hAnsiTheme="majorBidi" w:cstheme="majorBidi"/>
          <w:b/>
          <w:bCs/>
          <w:sz w:val="24"/>
          <w:szCs w:val="24"/>
        </w:rPr>
        <w:t>ten</w:t>
      </w:r>
      <w:r w:rsidRPr="00FD2F92">
        <w:rPr>
          <w:rFonts w:asciiTheme="majorBidi" w:hAnsiTheme="majorBidi" w:cstheme="majorBidi"/>
          <w:b/>
          <w:bCs/>
          <w:sz w:val="24"/>
          <w:szCs w:val="24"/>
        </w:rPr>
        <w:t xml:space="preserve"> boys at Juba National prison high court.</w:t>
      </w:r>
    </w:p>
    <w:p w14:paraId="7AA07331" w14:textId="77777777" w:rsidR="004205F4" w:rsidRPr="004205F4" w:rsidRDefault="004205F4" w:rsidP="004205F4">
      <w:pPr>
        <w:pStyle w:val="ListParagraph"/>
        <w:rPr>
          <w:rFonts w:ascii="Times New Roman" w:eastAsia="Aptos" w:hAnsi="Times New Roman" w:cs="Times New Roman"/>
          <w:b/>
          <w:bCs/>
          <w:color w:val="000000"/>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059B2B99" w14:textId="4D1C48D9" w:rsidR="008D39CC" w:rsidRPr="00A66C68" w:rsidRDefault="00833B85" w:rsidP="00A66C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6CEF74F3" w14:textId="73406499" w:rsidR="003B30C8" w:rsidRDefault="00874A46" w:rsidP="0070399E">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252F7120" w14:textId="77777777" w:rsidR="00F42833" w:rsidRDefault="00F42833" w:rsidP="00F42833">
      <w:pPr>
        <w:spacing w:after="0"/>
        <w:jc w:val="both"/>
        <w:rPr>
          <w:rFonts w:asciiTheme="majorBidi" w:eastAsia="Palatino Linotype" w:hAnsiTheme="majorBidi" w:cstheme="majorBidi"/>
          <w:b/>
          <w:sz w:val="24"/>
          <w:szCs w:val="24"/>
        </w:rPr>
      </w:pPr>
    </w:p>
    <w:p w14:paraId="7B70D13F" w14:textId="77777777" w:rsidR="00F42833" w:rsidRPr="00FD2F92" w:rsidRDefault="00F42833" w:rsidP="00F42833">
      <w:pPr>
        <w:pStyle w:val="ListParagraph"/>
        <w:numPr>
          <w:ilvl w:val="0"/>
          <w:numId w:val="12"/>
        </w:numPr>
        <w:spacing w:after="160"/>
        <w:jc w:val="both"/>
        <w:rPr>
          <w:rFonts w:asciiTheme="majorBidi" w:hAnsiTheme="majorBidi" w:cstheme="majorBidi"/>
          <w:b/>
          <w:bCs/>
          <w:sz w:val="24"/>
          <w:szCs w:val="24"/>
        </w:rPr>
      </w:pPr>
      <w:bookmarkStart w:id="4" w:name="_Hlk210231222"/>
      <w:r w:rsidRPr="00FD2F92">
        <w:rPr>
          <w:rFonts w:asciiTheme="majorBidi" w:hAnsiTheme="majorBidi" w:cstheme="majorBidi"/>
          <w:b/>
          <w:bCs/>
          <w:sz w:val="24"/>
          <w:szCs w:val="24"/>
        </w:rPr>
        <w:t>HRD attended the</w:t>
      </w:r>
      <w:r>
        <w:rPr>
          <w:rFonts w:asciiTheme="majorBidi" w:hAnsiTheme="majorBidi" w:cstheme="majorBidi"/>
          <w:b/>
          <w:bCs/>
          <w:sz w:val="24"/>
          <w:szCs w:val="24"/>
        </w:rPr>
        <w:t xml:space="preserve"> fourth </w:t>
      </w:r>
      <w:r w:rsidRPr="00FD2F92">
        <w:rPr>
          <w:rFonts w:asciiTheme="majorBidi" w:hAnsiTheme="majorBidi" w:cstheme="majorBidi"/>
          <w:b/>
          <w:bCs/>
          <w:sz w:val="24"/>
          <w:szCs w:val="24"/>
        </w:rPr>
        <w:t xml:space="preserve">court hearing of gang rape of a 16-year-old Dinka girl by a group of </w:t>
      </w:r>
      <w:r>
        <w:rPr>
          <w:rFonts w:asciiTheme="majorBidi" w:hAnsiTheme="majorBidi" w:cstheme="majorBidi"/>
          <w:b/>
          <w:bCs/>
          <w:sz w:val="24"/>
          <w:szCs w:val="24"/>
        </w:rPr>
        <w:t>ten</w:t>
      </w:r>
      <w:r w:rsidRPr="00FD2F92">
        <w:rPr>
          <w:rFonts w:asciiTheme="majorBidi" w:hAnsiTheme="majorBidi" w:cstheme="majorBidi"/>
          <w:b/>
          <w:bCs/>
          <w:sz w:val="24"/>
          <w:szCs w:val="24"/>
        </w:rPr>
        <w:t xml:space="preserve"> boys at Juba National prison high court.</w:t>
      </w:r>
    </w:p>
    <w:bookmarkEnd w:id="4"/>
    <w:p w14:paraId="6BF848DC" w14:textId="02FD03F7" w:rsidR="00F42833" w:rsidRDefault="00F42833" w:rsidP="00F42833">
      <w:pPr>
        <w:pStyle w:val="NormalWeb"/>
        <w:spacing w:line="276" w:lineRule="auto"/>
        <w:jc w:val="both"/>
      </w:pPr>
      <w:r>
        <w:t>On 16 October 2025, HRD attended the fourth hearing at the Juba National Prison High Court regarding the gang rape of a 16-year-old Dinka girl, which occurred on 19 June 2025. The victim was allegedly abducted and sexually assaulted by a group of ten boys. A video of the incident was later circulated on Facebook, triggering widespread public outrage.</w:t>
      </w:r>
      <w:r>
        <w:t xml:space="preserve"> </w:t>
      </w:r>
      <w:r>
        <w:t>Eight of the accused were present in court, along with the complainant, the victim, and their legal representatives. The session was scheduled to hear testimonies from both the complainant and the victim.</w:t>
      </w:r>
    </w:p>
    <w:p w14:paraId="2F1020F3" w14:textId="77777777" w:rsidR="00F42833" w:rsidRDefault="00F42833" w:rsidP="00F42833">
      <w:pPr>
        <w:pStyle w:val="NormalWeb"/>
        <w:spacing w:line="276" w:lineRule="auto"/>
        <w:jc w:val="both"/>
      </w:pPr>
      <w:r>
        <w:t>The complainant testified first, led by the prosecution team. He described the events of 19 June, stating that the victim had been sent to the market to buy food when she was forcibly taken by four of the accused to the location where she was repeatedly assaulted by more than eleven boys. Upon returning home, the victim appeared ill and could barely walk. When asked, she claimed to be sick and did not initially disclose the assault. It was only after the complainant saw the video on Facebook five days later that he confronted her. She then revealed the assault and the threats made against her and her family. The complainant subsequently reported the incident to the police, leading to the arrest of the suspects.</w:t>
      </w:r>
    </w:p>
    <w:p w14:paraId="0621B28B" w14:textId="4C13E8EC" w:rsidR="00F42833" w:rsidRDefault="00F42833" w:rsidP="00F42833">
      <w:pPr>
        <w:pStyle w:val="NormalWeb"/>
        <w:spacing w:line="276" w:lineRule="auto"/>
        <w:jc w:val="both"/>
      </w:pPr>
      <w:r>
        <w:t xml:space="preserve">During cross-examination, the defense questioned the complainant about his residence, the market the victim visited, her activities on the day of the incident, her movements during the five days following the assault, her place of birth, and her time of arrival in Juba. They also asked whether he had seen the </w:t>
      </w:r>
      <w:r>
        <w:lastRenderedPageBreak/>
        <w:t>video and if he believed the arrests were influenced by gang affiliations. The prosecution followed up with a brief re-examination to clarify unclear points.</w:t>
      </w:r>
      <w:r>
        <w:t xml:space="preserve"> </w:t>
      </w:r>
      <w:r>
        <w:t>For the victim’s testimony, the presiding judge ordered the courtroom to be cleared due to the emotional and sensitive nature of the testimony. The audience will be allowed to return in the next session.</w:t>
      </w:r>
    </w:p>
    <w:p w14:paraId="161717E4" w14:textId="7AED7085" w:rsidR="00F42833" w:rsidRPr="00F42833" w:rsidRDefault="00F42833" w:rsidP="00F42833">
      <w:pPr>
        <w:spacing w:after="0"/>
        <w:jc w:val="both"/>
        <w:rPr>
          <w:rFonts w:asciiTheme="majorBidi" w:eastAsia="Palatino Linotype" w:hAnsiTheme="majorBidi" w:cstheme="majorBidi"/>
          <w:b/>
          <w:i/>
          <w:iCs/>
          <w:sz w:val="24"/>
          <w:szCs w:val="24"/>
        </w:rPr>
      </w:pPr>
      <w:r w:rsidRPr="00F42833">
        <w:rPr>
          <w:rFonts w:asciiTheme="majorBidi" w:eastAsia="Palatino Linotype" w:hAnsiTheme="majorBidi" w:cstheme="majorBidi"/>
          <w:b/>
          <w:i/>
          <w:iCs/>
          <w:sz w:val="24"/>
          <w:szCs w:val="24"/>
        </w:rPr>
        <w:t xml:space="preserve">Comment: </w:t>
      </w:r>
      <w:r w:rsidRPr="00F42833">
        <w:rPr>
          <w:rFonts w:asciiTheme="majorBidi" w:eastAsia="Palatino Linotype" w:hAnsiTheme="majorBidi" w:cstheme="majorBidi"/>
          <w:bCs/>
          <w:i/>
          <w:iCs/>
          <w:sz w:val="24"/>
          <w:szCs w:val="24"/>
        </w:rPr>
        <w:t>The case underscores the seriousness of sexual violence against minors and the growing public demand for accountability, particularly in cases that gain wide attention through social media. HRD’s continued monitoring of the proceedings remains essential to ensure that due process is upheld, the victim’s rights and dignity are protected, and the judicial response aligns with national and international human rights standards.</w:t>
      </w:r>
    </w:p>
    <w:p w14:paraId="75BA9D27" w14:textId="77777777" w:rsidR="00F42833" w:rsidRPr="0070399E" w:rsidRDefault="00F42833" w:rsidP="00F42833">
      <w:pPr>
        <w:spacing w:after="0"/>
        <w:jc w:val="both"/>
        <w:rPr>
          <w:rFonts w:asciiTheme="majorBidi" w:eastAsia="Palatino Linotype" w:hAnsiTheme="majorBidi" w:cstheme="majorBidi"/>
          <w:b/>
          <w:sz w:val="24"/>
          <w:szCs w:val="24"/>
        </w:rPr>
      </w:pP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53740B82" w14:textId="7E16B5E6" w:rsidR="00E435B7" w:rsidRPr="003B30C8" w:rsidRDefault="00F64818" w:rsidP="003B30C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43C0DA8" w14:textId="77777777" w:rsidR="004B1FD1" w:rsidRPr="00B55EB3" w:rsidRDefault="004B1FD1" w:rsidP="00B55EB3">
      <w:pPr>
        <w:spacing w:after="0"/>
        <w:jc w:val="both"/>
        <w:rPr>
          <w:rFonts w:asciiTheme="majorBidi" w:eastAsia="Palatino Linotype" w:hAnsiTheme="majorBidi" w:cstheme="majorBidi"/>
          <w:bCs/>
          <w:sz w:val="24"/>
          <w:szCs w:val="24"/>
        </w:rPr>
      </w:pPr>
    </w:p>
    <w:p w14:paraId="4D853438" w14:textId="4C794AEC"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FBBBA" w14:textId="77777777" w:rsidR="00DA2000" w:rsidRDefault="00DA2000" w:rsidP="00182875">
      <w:pPr>
        <w:spacing w:after="0" w:line="240" w:lineRule="auto"/>
      </w:pPr>
      <w:r>
        <w:separator/>
      </w:r>
    </w:p>
  </w:endnote>
  <w:endnote w:type="continuationSeparator" w:id="0">
    <w:p w14:paraId="7AABD4ED" w14:textId="77777777" w:rsidR="00DA2000" w:rsidRDefault="00DA200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2312579E"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70399E">
          <w:rPr>
            <w:rFonts w:ascii="Times New Roman" w:hAnsi="Times New Roman" w:cs="Times New Roman"/>
            <w:color w:val="0070C0"/>
            <w:sz w:val="20"/>
            <w:szCs w:val="20"/>
          </w:rPr>
          <w:t>1</w:t>
        </w:r>
        <w:r w:rsidR="00F20DA5">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A9ECA" w14:textId="77777777" w:rsidR="00DA2000" w:rsidRDefault="00DA2000" w:rsidP="00182875">
      <w:pPr>
        <w:spacing w:after="0" w:line="240" w:lineRule="auto"/>
      </w:pPr>
      <w:r>
        <w:separator/>
      </w:r>
    </w:p>
  </w:footnote>
  <w:footnote w:type="continuationSeparator" w:id="0">
    <w:p w14:paraId="332F1A3D" w14:textId="77777777" w:rsidR="00DA2000" w:rsidRDefault="00DA200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49975D8"/>
    <w:multiLevelType w:val="hybridMultilevel"/>
    <w:tmpl w:val="4B0EE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4"/>
  </w:num>
  <w:num w:numId="2" w16cid:durableId="1290747775">
    <w:abstractNumId w:val="8"/>
  </w:num>
  <w:num w:numId="3" w16cid:durableId="1434126653">
    <w:abstractNumId w:val="2"/>
  </w:num>
  <w:num w:numId="4" w16cid:durableId="343021440">
    <w:abstractNumId w:val="11"/>
  </w:num>
  <w:num w:numId="5" w16cid:durableId="1697924979">
    <w:abstractNumId w:val="12"/>
  </w:num>
  <w:num w:numId="6" w16cid:durableId="1953436510">
    <w:abstractNumId w:val="4"/>
  </w:num>
  <w:num w:numId="7" w16cid:durableId="1220239112">
    <w:abstractNumId w:val="0"/>
  </w:num>
  <w:num w:numId="8" w16cid:durableId="1047072810">
    <w:abstractNumId w:val="9"/>
  </w:num>
  <w:num w:numId="9" w16cid:durableId="2055887574">
    <w:abstractNumId w:val="16"/>
  </w:num>
  <w:num w:numId="10" w16cid:durableId="506139602">
    <w:abstractNumId w:val="1"/>
  </w:num>
  <w:num w:numId="11" w16cid:durableId="652830635">
    <w:abstractNumId w:val="13"/>
  </w:num>
  <w:num w:numId="12" w16cid:durableId="579365373">
    <w:abstractNumId w:val="15"/>
  </w:num>
  <w:num w:numId="13" w16cid:durableId="1409769973">
    <w:abstractNumId w:val="10"/>
  </w:num>
  <w:num w:numId="14" w16cid:durableId="695041880">
    <w:abstractNumId w:val="3"/>
  </w:num>
  <w:num w:numId="15" w16cid:durableId="672755730">
    <w:abstractNumId w:val="6"/>
  </w:num>
  <w:num w:numId="16" w16cid:durableId="279453763">
    <w:abstractNumId w:val="15"/>
  </w:num>
  <w:num w:numId="17" w16cid:durableId="513542809">
    <w:abstractNumId w:val="7"/>
  </w:num>
  <w:num w:numId="18" w16cid:durableId="2143110169">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4AFA"/>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1607"/>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A19CD"/>
    <w:rsid w:val="00AA5C53"/>
    <w:rsid w:val="00AA5F2F"/>
    <w:rsid w:val="00AB05E2"/>
    <w:rsid w:val="00AB3377"/>
    <w:rsid w:val="00AB48DF"/>
    <w:rsid w:val="00AB4D91"/>
    <w:rsid w:val="00AB57D5"/>
    <w:rsid w:val="00AB63D2"/>
    <w:rsid w:val="00AB7DC9"/>
    <w:rsid w:val="00AC0227"/>
    <w:rsid w:val="00AC2133"/>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DFA"/>
    <w:rsid w:val="00B6295B"/>
    <w:rsid w:val="00B630AB"/>
    <w:rsid w:val="00B6377C"/>
    <w:rsid w:val="00B64FB7"/>
    <w:rsid w:val="00B70D6C"/>
    <w:rsid w:val="00B73D3E"/>
    <w:rsid w:val="00B74A38"/>
    <w:rsid w:val="00B77118"/>
    <w:rsid w:val="00B77DAA"/>
    <w:rsid w:val="00B8145E"/>
    <w:rsid w:val="00B90DD8"/>
    <w:rsid w:val="00B918F6"/>
    <w:rsid w:val="00B945A6"/>
    <w:rsid w:val="00B96165"/>
    <w:rsid w:val="00B96DD1"/>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0DA5"/>
    <w:rsid w:val="00F218AB"/>
    <w:rsid w:val="00F219E4"/>
    <w:rsid w:val="00F223D8"/>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2025-10-16T13:40:00Z</dcterms:created>
  <dcterms:modified xsi:type="dcterms:W3CDTF">2025-10-16T13:40:00Z</dcterms:modified>
</cp:coreProperties>
</file>