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D4173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D4173C">
        <w:rPr>
          <w:rFonts w:asciiTheme="majorBidi" w:eastAsia="Times New Roman" w:hAnsiTheme="majorBidi" w:cstheme="majorBidi"/>
          <w:spacing w:val="-10"/>
          <w:sz w:val="24"/>
          <w:szCs w:val="24"/>
        </w:rPr>
        <w:t xml:space="preserve">UNITED NATIONS   </w:t>
      </w:r>
      <w:r w:rsidRPr="00D4173C">
        <w:rPr>
          <w:rFonts w:asciiTheme="majorBidi" w:eastAsia="Times New Roman" w:hAnsiTheme="majorBidi" w:cstheme="majorBidi"/>
          <w:spacing w:val="-5"/>
          <w:sz w:val="24"/>
          <w:szCs w:val="24"/>
        </w:rPr>
        <w:t xml:space="preserve"> </w:t>
      </w:r>
      <w:r w:rsidRPr="00D4173C">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22489571" r:id="rId9"/>
        </w:object>
      </w:r>
      <w:r w:rsidRPr="00D4173C">
        <w:rPr>
          <w:rFonts w:asciiTheme="majorBidi" w:eastAsia="Times New Roman" w:hAnsiTheme="majorBidi" w:cstheme="majorBidi"/>
          <w:position w:val="-4"/>
          <w:sz w:val="24"/>
          <w:szCs w:val="24"/>
        </w:rPr>
        <w:t xml:space="preserve">      </w:t>
      </w:r>
      <w:r w:rsidRPr="00D4173C">
        <w:rPr>
          <w:rFonts w:asciiTheme="majorBidi" w:eastAsia="Times New Roman" w:hAnsiTheme="majorBidi" w:cstheme="majorBidi"/>
          <w:spacing w:val="-10"/>
          <w:position w:val="-4"/>
          <w:sz w:val="24"/>
          <w:szCs w:val="24"/>
        </w:rPr>
        <w:t xml:space="preserve"> </w:t>
      </w:r>
      <w:proofErr w:type="spellStart"/>
      <w:r w:rsidRPr="00D4173C">
        <w:rPr>
          <w:rFonts w:asciiTheme="majorBidi" w:eastAsia="Times New Roman" w:hAnsiTheme="majorBidi" w:cstheme="majorBidi"/>
          <w:b/>
          <w:position w:val="-4"/>
          <w:sz w:val="24"/>
          <w:szCs w:val="24"/>
          <w:rtl/>
        </w:rPr>
        <w:t>ألأمم</w:t>
      </w:r>
      <w:proofErr w:type="spellEnd"/>
      <w:r w:rsidRPr="00D4173C">
        <w:rPr>
          <w:rFonts w:asciiTheme="majorBidi" w:eastAsia="Times New Roman" w:hAnsiTheme="majorBidi" w:cstheme="majorBidi"/>
          <w:b/>
          <w:position w:val="-4"/>
          <w:sz w:val="24"/>
          <w:szCs w:val="24"/>
          <w:rtl/>
        </w:rPr>
        <w:t xml:space="preserve"> المتحدة</w:t>
      </w:r>
    </w:p>
    <w:p w14:paraId="00EFBC62" w14:textId="77777777" w:rsidR="00CC3E4B" w:rsidRPr="00D4173C" w:rsidRDefault="00CC3E4B" w:rsidP="00EA6CDB">
      <w:pPr>
        <w:spacing w:after="0" w:line="240" w:lineRule="atLeast"/>
        <w:jc w:val="center"/>
        <w:rPr>
          <w:rFonts w:asciiTheme="majorBidi" w:eastAsia="Times New Roman" w:hAnsiTheme="majorBidi" w:cstheme="majorBidi"/>
          <w:sz w:val="24"/>
          <w:szCs w:val="24"/>
        </w:rPr>
      </w:pPr>
      <w:r w:rsidRPr="00D4173C">
        <w:rPr>
          <w:rFonts w:asciiTheme="majorBidi" w:eastAsia="Times New Roman" w:hAnsiTheme="majorBidi" w:cstheme="majorBidi"/>
          <w:sz w:val="24"/>
          <w:szCs w:val="24"/>
        </w:rPr>
        <w:t>United Nations Mission in South Sudan (UNMISS)</w:t>
      </w:r>
    </w:p>
    <w:p w14:paraId="081AB9B9"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r w:rsidRPr="00D4173C">
        <w:rPr>
          <w:rFonts w:asciiTheme="majorBidi" w:eastAsia="Times New Roman" w:hAnsiTheme="majorBidi" w:cstheme="majorBidi"/>
          <w:b/>
          <w:sz w:val="24"/>
          <w:szCs w:val="24"/>
        </w:rPr>
        <w:t>Human Rights Division (HRD)</w:t>
      </w:r>
    </w:p>
    <w:p w14:paraId="15048F8E"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D4173C" w:rsidRDefault="00CC3E4B" w:rsidP="00EA6CDB">
      <w:pPr>
        <w:spacing w:after="0" w:line="240" w:lineRule="atLeast"/>
        <w:jc w:val="center"/>
        <w:rPr>
          <w:rFonts w:asciiTheme="majorBidi" w:eastAsia="Calibri" w:hAnsiTheme="majorBidi" w:cstheme="majorBidi"/>
          <w:b/>
          <w:sz w:val="24"/>
          <w:szCs w:val="24"/>
        </w:rPr>
      </w:pPr>
      <w:r w:rsidRPr="00D4173C">
        <w:rPr>
          <w:rFonts w:asciiTheme="majorBidi" w:eastAsia="Calibri" w:hAnsiTheme="majorBidi" w:cstheme="majorBidi"/>
          <w:b/>
          <w:sz w:val="24"/>
          <w:szCs w:val="24"/>
        </w:rPr>
        <w:t>Bentiu Field Office Daily Report</w:t>
      </w:r>
    </w:p>
    <w:p w14:paraId="137E3EA5" w14:textId="77777777" w:rsidR="00CC3E4B" w:rsidRPr="00D4173C" w:rsidRDefault="00CC3E4B" w:rsidP="00EA6CDB">
      <w:pPr>
        <w:spacing w:after="0" w:line="240" w:lineRule="atLeast"/>
        <w:jc w:val="center"/>
        <w:rPr>
          <w:rFonts w:asciiTheme="majorBidi" w:eastAsia="Calibri" w:hAnsiTheme="majorBidi" w:cstheme="majorBidi"/>
          <w:b/>
          <w:sz w:val="24"/>
          <w:szCs w:val="24"/>
        </w:rPr>
      </w:pPr>
    </w:p>
    <w:p w14:paraId="6D35EE78" w14:textId="433E893F" w:rsidR="00CC3E4B" w:rsidRPr="00D4173C" w:rsidRDefault="00C4363D" w:rsidP="00EA6CDB">
      <w:pPr>
        <w:spacing w:after="0" w:line="240" w:lineRule="atLeast"/>
        <w:jc w:val="center"/>
        <w:rPr>
          <w:rFonts w:asciiTheme="majorBidi" w:eastAsia="Calibri" w:hAnsiTheme="majorBidi" w:cstheme="majorBidi"/>
          <w:b/>
          <w:sz w:val="24"/>
          <w:szCs w:val="24"/>
        </w:rPr>
      </w:pPr>
      <w:r>
        <w:rPr>
          <w:rFonts w:asciiTheme="majorBidi" w:eastAsia="Calibri" w:hAnsiTheme="majorBidi" w:cstheme="majorBidi"/>
          <w:b/>
          <w:sz w:val="24"/>
          <w:szCs w:val="24"/>
        </w:rPr>
        <w:t>20</w:t>
      </w:r>
      <w:r w:rsidR="0057184B" w:rsidRPr="00D4173C">
        <w:rPr>
          <w:rFonts w:asciiTheme="majorBidi" w:eastAsia="Calibri" w:hAnsiTheme="majorBidi" w:cstheme="majorBidi"/>
          <w:b/>
          <w:sz w:val="24"/>
          <w:szCs w:val="24"/>
        </w:rPr>
        <w:t xml:space="preserve"> October</w:t>
      </w:r>
      <w:r w:rsidR="00D16E7A" w:rsidRPr="00D4173C">
        <w:rPr>
          <w:rFonts w:asciiTheme="majorBidi" w:eastAsia="Calibri" w:hAnsiTheme="majorBidi" w:cstheme="majorBidi"/>
          <w:b/>
          <w:sz w:val="24"/>
          <w:szCs w:val="24"/>
        </w:rPr>
        <w:t xml:space="preserve"> 2025</w:t>
      </w:r>
    </w:p>
    <w:p w14:paraId="490A6A14" w14:textId="77777777" w:rsidR="00CC3E4B" w:rsidRPr="00D4173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D4173C"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D4173C">
        <w:rPr>
          <w:rFonts w:asciiTheme="majorBidi" w:eastAsia="Palatino Linotype" w:hAnsiTheme="majorBidi" w:cstheme="majorBidi"/>
          <w:b/>
          <w:sz w:val="24"/>
          <w:szCs w:val="24"/>
        </w:rPr>
        <w:t>Highlights</w:t>
      </w:r>
      <w:bookmarkStart w:id="1" w:name="_Hlk172814707"/>
      <w:r w:rsidRPr="00D4173C">
        <w:rPr>
          <w:rFonts w:asciiTheme="majorBidi" w:eastAsia="Aptos" w:hAnsiTheme="majorBidi" w:cstheme="majorBidi"/>
          <w:i/>
          <w:iCs/>
          <w:sz w:val="24"/>
          <w:szCs w:val="24"/>
          <w14:ligatures w14:val="standardContextual"/>
        </w:rPr>
        <w:t xml:space="preserve"> </w:t>
      </w:r>
    </w:p>
    <w:p w14:paraId="7296F8CD" w14:textId="3D86EE0D" w:rsidR="002C49AB" w:rsidRPr="00D4173C"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D4173C">
        <w:rPr>
          <w:rFonts w:asciiTheme="majorBidi" w:eastAsia="Aptos" w:hAnsiTheme="majorBidi" w:cstheme="majorBidi"/>
          <w:i/>
          <w:iCs/>
          <w:sz w:val="24"/>
          <w:szCs w:val="24"/>
          <w14:ligatures w14:val="standardContextual"/>
        </w:rPr>
        <w:t xml:space="preserve"> </w:t>
      </w:r>
    </w:p>
    <w:p w14:paraId="27CD79F8" w14:textId="77777777" w:rsidR="00B96CE4" w:rsidRPr="00B96CE4" w:rsidRDefault="00D4173C" w:rsidP="00B96CE4">
      <w:pPr>
        <w:pStyle w:val="ListParagraph"/>
        <w:numPr>
          <w:ilvl w:val="0"/>
          <w:numId w:val="10"/>
        </w:numPr>
        <w:spacing w:after="160" w:line="259" w:lineRule="auto"/>
        <w:jc w:val="both"/>
        <w:rPr>
          <w:rFonts w:asciiTheme="majorBidi" w:eastAsia="Times New Roman" w:hAnsiTheme="majorBidi" w:cstheme="majorBidi"/>
          <w:i/>
          <w:iCs/>
          <w:color w:val="212121"/>
          <w:sz w:val="24"/>
          <w:szCs w:val="24"/>
        </w:rPr>
      </w:pPr>
      <w:bookmarkStart w:id="2" w:name="_Hlk198224089"/>
      <w:bookmarkStart w:id="3" w:name="_Hlk211876708"/>
      <w:bookmarkEnd w:id="1"/>
      <w:r w:rsidRPr="00C4363D">
        <w:rPr>
          <w:rFonts w:asciiTheme="majorBidi" w:hAnsiTheme="majorBidi" w:cstheme="majorBidi"/>
          <w:i/>
          <w:iCs/>
          <w:sz w:val="24"/>
          <w:szCs w:val="24"/>
        </w:rPr>
        <w:t xml:space="preserve">HRD </w:t>
      </w:r>
      <w:r w:rsidR="004A1340" w:rsidRPr="00C4363D">
        <w:rPr>
          <w:rFonts w:asciiTheme="majorBidi" w:hAnsiTheme="majorBidi" w:cstheme="majorBidi"/>
          <w:i/>
          <w:iCs/>
          <w:sz w:val="24"/>
          <w:szCs w:val="24"/>
        </w:rPr>
        <w:t xml:space="preserve">carried out Mobile Court Monitoring and observed some </w:t>
      </w:r>
      <w:r w:rsidR="0043294C" w:rsidRPr="00C4363D">
        <w:rPr>
          <w:rFonts w:asciiTheme="majorBidi" w:hAnsiTheme="majorBidi" w:cstheme="majorBidi"/>
          <w:i/>
          <w:iCs/>
          <w:sz w:val="24"/>
          <w:szCs w:val="24"/>
        </w:rPr>
        <w:t>light or suspended sentences regardless of the seriousness of the cases.</w:t>
      </w:r>
    </w:p>
    <w:p w14:paraId="794BE4C5" w14:textId="56FFA0ED" w:rsidR="00B96CE4" w:rsidRPr="00B96CE4" w:rsidRDefault="00B96CE4" w:rsidP="00B96CE4">
      <w:pPr>
        <w:pStyle w:val="ListParagraph"/>
        <w:numPr>
          <w:ilvl w:val="0"/>
          <w:numId w:val="10"/>
        </w:numPr>
        <w:spacing w:after="160" w:line="259" w:lineRule="auto"/>
        <w:jc w:val="both"/>
        <w:rPr>
          <w:rFonts w:asciiTheme="majorBidi" w:eastAsia="Times New Roman" w:hAnsiTheme="majorBidi" w:cstheme="majorBidi"/>
          <w:i/>
          <w:iCs/>
          <w:color w:val="212121"/>
          <w:sz w:val="24"/>
          <w:szCs w:val="24"/>
        </w:rPr>
      </w:pPr>
      <w:r w:rsidRPr="00B96CE4">
        <w:rPr>
          <w:rFonts w:asciiTheme="majorBidi" w:hAnsiTheme="majorBidi" w:cstheme="majorBidi"/>
          <w:i/>
          <w:iCs/>
          <w:sz w:val="24"/>
          <w:szCs w:val="24"/>
        </w:rPr>
        <w:t xml:space="preserve">HRD engaged and raised concern with the victim and witness advocate the light sentences given to suspect convicted of serious cases (Section 206 or 247). </w:t>
      </w:r>
    </w:p>
    <w:p w14:paraId="65C53D8E" w14:textId="6F9452A6" w:rsidR="00AB6C53" w:rsidRPr="00C4363D" w:rsidRDefault="00AB6C53" w:rsidP="00B96CE4">
      <w:pPr>
        <w:pStyle w:val="ListParagraph"/>
        <w:spacing w:after="160" w:line="259" w:lineRule="auto"/>
        <w:jc w:val="both"/>
        <w:rPr>
          <w:rFonts w:asciiTheme="majorBidi" w:eastAsia="Times New Roman" w:hAnsiTheme="majorBidi" w:cstheme="majorBidi"/>
          <w:i/>
          <w:iCs/>
          <w:color w:val="212121"/>
          <w:sz w:val="24"/>
          <w:szCs w:val="24"/>
        </w:rPr>
      </w:pPr>
    </w:p>
    <w:bookmarkEnd w:id="3"/>
    <w:p w14:paraId="4706C4EA" w14:textId="77777777" w:rsidR="00C4363D" w:rsidRPr="00C4363D" w:rsidRDefault="00C4363D" w:rsidP="00C4363D">
      <w:pPr>
        <w:pStyle w:val="ListParagraph"/>
        <w:spacing w:after="160" w:line="259" w:lineRule="auto"/>
        <w:jc w:val="both"/>
        <w:rPr>
          <w:rFonts w:asciiTheme="majorBidi" w:eastAsia="Times New Roman" w:hAnsiTheme="majorBidi" w:cstheme="majorBidi"/>
          <w:b/>
          <w:bCs/>
          <w:color w:val="212121"/>
          <w:sz w:val="24"/>
          <w:szCs w:val="24"/>
        </w:rPr>
      </w:pPr>
    </w:p>
    <w:p w14:paraId="24C810B9" w14:textId="19F736DD" w:rsidR="00D4173C" w:rsidRPr="004A1340" w:rsidRDefault="00CC3E4B" w:rsidP="004A1340">
      <w:pPr>
        <w:pStyle w:val="ListParagraph"/>
        <w:numPr>
          <w:ilvl w:val="0"/>
          <w:numId w:val="1"/>
        </w:num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r w:rsidRPr="00D4173C">
        <w:rPr>
          <w:rFonts w:asciiTheme="majorBidi" w:eastAsia="Calibri" w:hAnsiTheme="majorBidi" w:cstheme="majorBidi"/>
          <w:b/>
          <w:bCs/>
          <w:sz w:val="24"/>
          <w:szCs w:val="24"/>
        </w:rPr>
        <w:t>Political and Security Update</w:t>
      </w:r>
    </w:p>
    <w:p w14:paraId="60B2A229" w14:textId="58290BB8" w:rsidR="00283E27" w:rsidRPr="00D4173C" w:rsidRDefault="00CC3E4B" w:rsidP="00EA6CDB">
      <w:pPr>
        <w:pStyle w:val="ListParagraph"/>
        <w:numPr>
          <w:ilvl w:val="0"/>
          <w:numId w:val="1"/>
        </w:numPr>
        <w:spacing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 xml:space="preserve">Human Rights in the Electoral Process </w:t>
      </w:r>
    </w:p>
    <w:p w14:paraId="706AD661" w14:textId="3EA82D6B" w:rsidR="00232CD8" w:rsidRPr="00D4173C" w:rsidRDefault="00D45CD8"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C</w:t>
      </w:r>
      <w:r w:rsidR="00CC3E4B" w:rsidRPr="00D4173C">
        <w:rPr>
          <w:rFonts w:asciiTheme="majorBidi" w:eastAsia="Palatino Linotype" w:hAnsiTheme="majorBidi" w:cstheme="majorBidi"/>
          <w:b/>
          <w:sz w:val="24"/>
          <w:szCs w:val="24"/>
        </w:rPr>
        <w:t>onflict-Related Violations/Abuses</w:t>
      </w:r>
      <w:r w:rsidR="00CF33FE" w:rsidRPr="00D4173C">
        <w:rPr>
          <w:rFonts w:asciiTheme="majorBidi" w:eastAsia="Palatino Linotype" w:hAnsiTheme="majorBidi" w:cstheme="majorBidi"/>
          <w:b/>
          <w:sz w:val="24"/>
          <w:szCs w:val="24"/>
        </w:rPr>
        <w:t>.</w:t>
      </w:r>
    </w:p>
    <w:p w14:paraId="6E1B12A9" w14:textId="14D9EEBE" w:rsidR="00D4173C" w:rsidRPr="0043294C" w:rsidRDefault="00CC3E4B" w:rsidP="0043294C">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Conflict-Related Sexual Violence (CRSV)</w:t>
      </w:r>
    </w:p>
    <w:p w14:paraId="4CFA5931" w14:textId="60506E0B" w:rsidR="007A4B4B" w:rsidRPr="00D4173C"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Gender-Based Violence (SGBV)</w:t>
      </w:r>
    </w:p>
    <w:p w14:paraId="62015193" w14:textId="77777777" w:rsidR="00CC3E4B" w:rsidRPr="00D4173C"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4" w:name="_Hlk155890358"/>
      <w:r w:rsidRPr="00D4173C">
        <w:rPr>
          <w:rFonts w:asciiTheme="majorBidi" w:eastAsia="Palatino Linotype" w:hAnsiTheme="majorBidi" w:cstheme="majorBidi"/>
          <w:b/>
          <w:sz w:val="24"/>
          <w:szCs w:val="24"/>
        </w:rPr>
        <w:t>Civic Space and Participation</w:t>
      </w:r>
    </w:p>
    <w:bookmarkEnd w:id="0"/>
    <w:bookmarkEnd w:id="2"/>
    <w:bookmarkEnd w:id="4"/>
    <w:p w14:paraId="4C92C06C" w14:textId="1F2A7567" w:rsidR="00F910E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Accountability</w:t>
      </w:r>
    </w:p>
    <w:p w14:paraId="448D6961" w14:textId="77777777" w:rsidR="00BF4BEB" w:rsidRDefault="00BF4BEB" w:rsidP="00BF4BEB">
      <w:pPr>
        <w:spacing w:after="0" w:line="240" w:lineRule="atLeast"/>
        <w:ind w:left="360"/>
        <w:contextualSpacing/>
        <w:jc w:val="both"/>
        <w:rPr>
          <w:rFonts w:asciiTheme="majorBidi" w:eastAsia="Palatino Linotype" w:hAnsiTheme="majorBidi" w:cstheme="majorBidi"/>
          <w:b/>
          <w:sz w:val="24"/>
          <w:szCs w:val="24"/>
        </w:rPr>
      </w:pPr>
    </w:p>
    <w:p w14:paraId="4074889E" w14:textId="00107640" w:rsidR="0043294C" w:rsidRPr="0043294C" w:rsidRDefault="0043294C" w:rsidP="0043294C">
      <w:pPr>
        <w:pStyle w:val="ListParagraph"/>
        <w:numPr>
          <w:ilvl w:val="0"/>
          <w:numId w:val="15"/>
        </w:numPr>
        <w:spacing w:after="160" w:line="259" w:lineRule="auto"/>
        <w:jc w:val="both"/>
        <w:rPr>
          <w:rFonts w:asciiTheme="majorBidi" w:eastAsia="Times New Roman" w:hAnsiTheme="majorBidi" w:cstheme="majorBidi"/>
          <w:b/>
          <w:bCs/>
          <w:color w:val="212121"/>
          <w:sz w:val="24"/>
          <w:szCs w:val="24"/>
        </w:rPr>
      </w:pPr>
      <w:r w:rsidRPr="0043294C">
        <w:rPr>
          <w:rFonts w:asciiTheme="majorBidi" w:hAnsiTheme="majorBidi" w:cstheme="majorBidi"/>
          <w:b/>
          <w:bCs/>
          <w:i/>
          <w:iCs/>
          <w:sz w:val="24"/>
          <w:szCs w:val="24"/>
        </w:rPr>
        <w:t>HRD carried out Mobile Court Monitoring and observed some light or suspended sentences regardless of the seriousness of the cases</w:t>
      </w:r>
    </w:p>
    <w:p w14:paraId="2DEB3993" w14:textId="36E774C1" w:rsidR="00CE2341" w:rsidRPr="00124DF5" w:rsidRDefault="00CE2341" w:rsidP="00CE2341">
      <w:pPr>
        <w:spacing w:after="0" w:line="240" w:lineRule="auto"/>
        <w:rPr>
          <w:rFonts w:ascii="Times New Roman" w:hAnsi="Times New Roman" w:cs="Times New Roman"/>
          <w:sz w:val="24"/>
          <w:szCs w:val="24"/>
        </w:rPr>
      </w:pPr>
      <w:r>
        <w:rPr>
          <w:rFonts w:asciiTheme="majorBidi" w:eastAsia="Times New Roman" w:hAnsiTheme="majorBidi" w:cstheme="majorBidi"/>
          <w:color w:val="212121"/>
          <w:sz w:val="24"/>
          <w:szCs w:val="24"/>
        </w:rPr>
        <w:t>Since 01-20</w:t>
      </w:r>
      <w:r w:rsidR="0043294C" w:rsidRPr="00124DF5">
        <w:rPr>
          <w:rFonts w:asciiTheme="majorBidi" w:eastAsia="Times New Roman" w:hAnsiTheme="majorBidi" w:cstheme="majorBidi"/>
          <w:color w:val="212121"/>
          <w:sz w:val="24"/>
          <w:szCs w:val="24"/>
        </w:rPr>
        <w:t xml:space="preserve"> October 2025, </w:t>
      </w:r>
      <w:r w:rsidRPr="00124DF5">
        <w:rPr>
          <w:rFonts w:asciiTheme="majorBidi" w:eastAsia="Times New Roman" w:hAnsiTheme="majorBidi" w:cstheme="majorBidi"/>
          <w:color w:val="212121"/>
          <w:sz w:val="24"/>
          <w:szCs w:val="24"/>
        </w:rPr>
        <w:t>HRD and its protection partners have been monitoring and observing the ongoing Mobile Court trial.</w:t>
      </w:r>
      <w:r>
        <w:rPr>
          <w:rFonts w:asciiTheme="majorBidi" w:eastAsia="Times New Roman" w:hAnsiTheme="majorBidi" w:cstheme="majorBidi"/>
          <w:color w:val="212121"/>
          <w:sz w:val="24"/>
          <w:szCs w:val="24"/>
        </w:rPr>
        <w:t xml:space="preserve"> According to the information gathered during the Mobile Court trial and received from RoLSIS, t</w:t>
      </w:r>
      <w:r>
        <w:rPr>
          <w:rFonts w:asciiTheme="majorBidi" w:eastAsia="Times New Roman" w:hAnsiTheme="majorBidi" w:cstheme="majorBidi"/>
          <w:color w:val="212121"/>
          <w:sz w:val="24"/>
          <w:szCs w:val="24"/>
        </w:rPr>
        <w:t xml:space="preserve">he </w:t>
      </w:r>
      <w:r>
        <w:rPr>
          <w:rFonts w:asciiTheme="majorBidi" w:eastAsia="Times New Roman" w:hAnsiTheme="majorBidi" w:cstheme="majorBidi"/>
          <w:color w:val="212121"/>
          <w:sz w:val="24"/>
          <w:szCs w:val="24"/>
        </w:rPr>
        <w:t>Mobile Court</w:t>
      </w:r>
      <w:r>
        <w:rPr>
          <w:rFonts w:asciiTheme="majorBidi" w:eastAsia="Times New Roman" w:hAnsiTheme="majorBidi" w:cstheme="majorBidi"/>
          <w:color w:val="212121"/>
          <w:sz w:val="24"/>
          <w:szCs w:val="24"/>
        </w:rPr>
        <w:t xml:space="preserve"> </w:t>
      </w:r>
      <w:r>
        <w:rPr>
          <w:rFonts w:asciiTheme="majorBidi" w:eastAsia="Times New Roman" w:hAnsiTheme="majorBidi" w:cstheme="majorBidi"/>
          <w:color w:val="212121"/>
          <w:sz w:val="24"/>
          <w:szCs w:val="24"/>
        </w:rPr>
        <w:t>team fully investigated</w:t>
      </w:r>
      <w:r>
        <w:rPr>
          <w:rFonts w:asciiTheme="majorBidi" w:eastAsia="Times New Roman" w:hAnsiTheme="majorBidi" w:cstheme="majorBidi"/>
          <w:color w:val="212121"/>
          <w:sz w:val="24"/>
          <w:szCs w:val="24"/>
        </w:rPr>
        <w:t xml:space="preserve"> </w:t>
      </w:r>
      <w:r>
        <w:rPr>
          <w:rFonts w:asciiTheme="majorBidi" w:eastAsia="Times New Roman" w:hAnsiTheme="majorBidi" w:cstheme="majorBidi"/>
          <w:color w:val="212121"/>
          <w:sz w:val="24"/>
          <w:szCs w:val="24"/>
        </w:rPr>
        <w:t>a total of</w:t>
      </w:r>
      <w:r w:rsidRPr="00124DF5">
        <w:rPr>
          <w:rFonts w:asciiTheme="majorBidi" w:eastAsia="Times New Roman" w:hAnsiTheme="majorBidi" w:cstheme="majorBidi"/>
          <w:color w:val="212121"/>
          <w:sz w:val="24"/>
          <w:szCs w:val="24"/>
        </w:rPr>
        <w:t xml:space="preserve"> 7</w:t>
      </w:r>
      <w:r w:rsidR="00471964">
        <w:rPr>
          <w:rFonts w:asciiTheme="majorBidi" w:eastAsia="Times New Roman" w:hAnsiTheme="majorBidi" w:cstheme="majorBidi"/>
          <w:color w:val="212121"/>
          <w:sz w:val="24"/>
          <w:szCs w:val="24"/>
        </w:rPr>
        <w:t>1</w:t>
      </w:r>
      <w:r>
        <w:rPr>
          <w:rFonts w:asciiTheme="majorBidi" w:eastAsia="Times New Roman" w:hAnsiTheme="majorBidi" w:cstheme="majorBidi"/>
          <w:color w:val="212121"/>
          <w:sz w:val="24"/>
          <w:szCs w:val="24"/>
        </w:rPr>
        <w:t xml:space="preserve"> </w:t>
      </w:r>
      <w:r w:rsidRPr="00124DF5">
        <w:rPr>
          <w:rFonts w:asciiTheme="majorBidi" w:eastAsia="Times New Roman" w:hAnsiTheme="majorBidi" w:cstheme="majorBidi"/>
          <w:color w:val="212121"/>
          <w:sz w:val="24"/>
          <w:szCs w:val="24"/>
        </w:rPr>
        <w:t>cases</w:t>
      </w:r>
      <w:r>
        <w:rPr>
          <w:rFonts w:asciiTheme="majorBidi" w:eastAsia="Times New Roman" w:hAnsiTheme="majorBidi" w:cstheme="majorBidi"/>
          <w:color w:val="212121"/>
          <w:sz w:val="24"/>
          <w:szCs w:val="24"/>
        </w:rPr>
        <w:t xml:space="preserve"> so far,</w:t>
      </w:r>
      <w:r w:rsidRPr="00124DF5">
        <w:rPr>
          <w:rFonts w:asciiTheme="majorBidi" w:eastAsia="Times New Roman" w:hAnsiTheme="majorBidi" w:cstheme="majorBidi"/>
          <w:color w:val="212121"/>
          <w:sz w:val="24"/>
          <w:szCs w:val="24"/>
        </w:rPr>
        <w:t xml:space="preserve"> these includ</w:t>
      </w:r>
      <w:r>
        <w:rPr>
          <w:rFonts w:asciiTheme="majorBidi" w:eastAsia="Times New Roman" w:hAnsiTheme="majorBidi" w:cstheme="majorBidi"/>
          <w:color w:val="212121"/>
          <w:sz w:val="24"/>
          <w:szCs w:val="24"/>
        </w:rPr>
        <w:t>ing</w:t>
      </w:r>
      <w:r w:rsidRPr="00124DF5">
        <w:rPr>
          <w:rFonts w:asciiTheme="majorBidi" w:eastAsia="Times New Roman" w:hAnsiTheme="majorBidi" w:cstheme="majorBidi"/>
          <w:color w:val="212121"/>
          <w:sz w:val="24"/>
          <w:szCs w:val="24"/>
        </w:rPr>
        <w:t xml:space="preserve"> </w:t>
      </w:r>
      <w:r>
        <w:rPr>
          <w:rFonts w:asciiTheme="majorBidi" w:eastAsia="Times New Roman" w:hAnsiTheme="majorBidi" w:cstheme="majorBidi"/>
          <w:color w:val="212121"/>
          <w:sz w:val="24"/>
          <w:szCs w:val="24"/>
        </w:rPr>
        <w:t xml:space="preserve">12 SGBV cases. </w:t>
      </w:r>
      <w:r w:rsidRPr="00124DF5">
        <w:rPr>
          <w:rFonts w:asciiTheme="majorBidi" w:eastAsia="Times New Roman" w:hAnsiTheme="majorBidi" w:cstheme="majorBidi"/>
          <w:color w:val="212121"/>
          <w:sz w:val="24"/>
          <w:szCs w:val="24"/>
        </w:rPr>
        <w:t>Among the</w:t>
      </w:r>
      <w:r>
        <w:rPr>
          <w:rFonts w:asciiTheme="majorBidi" w:eastAsia="Times New Roman" w:hAnsiTheme="majorBidi" w:cstheme="majorBidi"/>
          <w:color w:val="212121"/>
          <w:sz w:val="24"/>
          <w:szCs w:val="24"/>
        </w:rPr>
        <w:t xml:space="preserve">se seventy </w:t>
      </w:r>
      <w:r w:rsidR="00471964">
        <w:rPr>
          <w:rFonts w:asciiTheme="majorBidi" w:eastAsia="Times New Roman" w:hAnsiTheme="majorBidi" w:cstheme="majorBidi"/>
          <w:color w:val="212121"/>
          <w:sz w:val="24"/>
          <w:szCs w:val="24"/>
        </w:rPr>
        <w:t>cases</w:t>
      </w:r>
      <w:r w:rsidR="00471964" w:rsidRPr="00124DF5">
        <w:rPr>
          <w:rFonts w:asciiTheme="majorBidi" w:eastAsia="Times New Roman" w:hAnsiTheme="majorBidi" w:cstheme="majorBidi"/>
          <w:color w:val="212121"/>
          <w:sz w:val="24"/>
          <w:szCs w:val="24"/>
        </w:rPr>
        <w:t>,</w:t>
      </w:r>
      <w:r w:rsidR="00471964">
        <w:rPr>
          <w:rFonts w:asciiTheme="majorBidi" w:eastAsia="Times New Roman" w:hAnsiTheme="majorBidi" w:cstheme="majorBidi"/>
          <w:color w:val="212121"/>
          <w:sz w:val="24"/>
          <w:szCs w:val="24"/>
        </w:rPr>
        <w:t xml:space="preserve"> </w:t>
      </w:r>
      <w:r w:rsidR="00471964" w:rsidRPr="00124DF5">
        <w:rPr>
          <w:rFonts w:asciiTheme="majorBidi" w:eastAsia="Times New Roman" w:hAnsiTheme="majorBidi" w:cstheme="majorBidi"/>
          <w:color w:val="212121"/>
          <w:sz w:val="24"/>
          <w:szCs w:val="24"/>
        </w:rPr>
        <w:t>twenty</w:t>
      </w:r>
      <w:r>
        <w:rPr>
          <w:rFonts w:asciiTheme="majorBidi" w:eastAsia="Times New Roman" w:hAnsiTheme="majorBidi" w:cstheme="majorBidi"/>
          <w:color w:val="212121"/>
          <w:sz w:val="24"/>
          <w:szCs w:val="24"/>
        </w:rPr>
        <w:t>-five (2</w:t>
      </w:r>
      <w:r w:rsidR="00471964">
        <w:rPr>
          <w:rFonts w:asciiTheme="majorBidi" w:eastAsia="Times New Roman" w:hAnsiTheme="majorBidi" w:cstheme="majorBidi"/>
          <w:color w:val="212121"/>
          <w:sz w:val="24"/>
          <w:szCs w:val="24"/>
        </w:rPr>
        <w:t>6</w:t>
      </w:r>
      <w:r>
        <w:rPr>
          <w:rFonts w:asciiTheme="majorBidi" w:eastAsia="Times New Roman" w:hAnsiTheme="majorBidi" w:cstheme="majorBidi"/>
          <w:color w:val="212121"/>
          <w:sz w:val="24"/>
          <w:szCs w:val="24"/>
        </w:rPr>
        <w:t>) have been</w:t>
      </w:r>
      <w:r w:rsidRPr="00124DF5">
        <w:rPr>
          <w:rFonts w:asciiTheme="majorBidi" w:eastAsia="Times New Roman" w:hAnsiTheme="majorBidi" w:cstheme="majorBidi"/>
          <w:color w:val="212121"/>
          <w:sz w:val="24"/>
          <w:szCs w:val="24"/>
        </w:rPr>
        <w:t xml:space="preserve"> decided by </w:t>
      </w:r>
      <w:r>
        <w:rPr>
          <w:rFonts w:asciiTheme="majorBidi" w:eastAsia="Times New Roman" w:hAnsiTheme="majorBidi" w:cstheme="majorBidi"/>
          <w:color w:val="212121"/>
          <w:sz w:val="24"/>
          <w:szCs w:val="24"/>
        </w:rPr>
        <w:t>judges</w:t>
      </w:r>
      <w:r>
        <w:rPr>
          <w:rFonts w:asciiTheme="majorBidi" w:eastAsia="Times New Roman" w:hAnsiTheme="majorBidi" w:cstheme="majorBidi"/>
          <w:color w:val="212121"/>
          <w:sz w:val="24"/>
          <w:szCs w:val="24"/>
        </w:rPr>
        <w:t xml:space="preserve"> already</w:t>
      </w:r>
      <w:r>
        <w:rPr>
          <w:rFonts w:asciiTheme="majorBidi" w:eastAsia="Times New Roman" w:hAnsiTheme="majorBidi" w:cstheme="majorBidi"/>
          <w:color w:val="212121"/>
          <w:sz w:val="24"/>
          <w:szCs w:val="24"/>
        </w:rPr>
        <w:t xml:space="preserve"> </w:t>
      </w:r>
      <w:r>
        <w:rPr>
          <w:rFonts w:asciiTheme="majorBidi" w:eastAsia="Times New Roman" w:hAnsiTheme="majorBidi" w:cstheme="majorBidi"/>
          <w:color w:val="212121"/>
          <w:sz w:val="24"/>
          <w:szCs w:val="24"/>
        </w:rPr>
        <w:t>through</w:t>
      </w:r>
      <w:r>
        <w:rPr>
          <w:rFonts w:asciiTheme="majorBidi" w:eastAsia="Times New Roman" w:hAnsiTheme="majorBidi" w:cstheme="majorBidi"/>
          <w:color w:val="212121"/>
          <w:sz w:val="24"/>
          <w:szCs w:val="24"/>
        </w:rPr>
        <w:t xml:space="preserve"> </w:t>
      </w:r>
      <w:r w:rsidRPr="00124DF5">
        <w:rPr>
          <w:rFonts w:asciiTheme="majorBidi" w:eastAsia="Times New Roman" w:hAnsiTheme="majorBidi" w:cstheme="majorBidi"/>
          <w:color w:val="212121"/>
          <w:sz w:val="24"/>
          <w:szCs w:val="24"/>
        </w:rPr>
        <w:t>convicti</w:t>
      </w:r>
      <w:r>
        <w:rPr>
          <w:rFonts w:asciiTheme="majorBidi" w:eastAsia="Times New Roman" w:hAnsiTheme="majorBidi" w:cstheme="majorBidi"/>
          <w:color w:val="212121"/>
          <w:sz w:val="24"/>
          <w:szCs w:val="24"/>
        </w:rPr>
        <w:t xml:space="preserve">on or </w:t>
      </w:r>
      <w:r w:rsidRPr="00124DF5">
        <w:rPr>
          <w:rFonts w:asciiTheme="majorBidi" w:eastAsia="Times New Roman" w:hAnsiTheme="majorBidi" w:cstheme="majorBidi"/>
          <w:color w:val="212121"/>
          <w:sz w:val="24"/>
          <w:szCs w:val="24"/>
        </w:rPr>
        <w:t>dismiss</w:t>
      </w:r>
      <w:r>
        <w:rPr>
          <w:rFonts w:asciiTheme="majorBidi" w:eastAsia="Times New Roman" w:hAnsiTheme="majorBidi" w:cstheme="majorBidi"/>
          <w:color w:val="212121"/>
          <w:sz w:val="24"/>
          <w:szCs w:val="24"/>
        </w:rPr>
        <w:t>al</w:t>
      </w:r>
      <w:r w:rsidRPr="00124DF5">
        <w:rPr>
          <w:rFonts w:asciiTheme="majorBidi" w:eastAsia="Times New Roman" w:hAnsiTheme="majorBidi" w:cstheme="majorBidi"/>
          <w:color w:val="212121"/>
          <w:sz w:val="24"/>
          <w:szCs w:val="24"/>
        </w:rPr>
        <w:t xml:space="preserve"> </w:t>
      </w:r>
      <w:r>
        <w:rPr>
          <w:rFonts w:asciiTheme="majorBidi" w:eastAsia="Times New Roman" w:hAnsiTheme="majorBidi" w:cstheme="majorBidi"/>
          <w:color w:val="212121"/>
          <w:sz w:val="24"/>
          <w:szCs w:val="24"/>
        </w:rPr>
        <w:t>by the judges</w:t>
      </w:r>
      <w:r>
        <w:rPr>
          <w:rFonts w:asciiTheme="majorBidi" w:eastAsia="Times New Roman" w:hAnsiTheme="majorBidi" w:cstheme="majorBidi"/>
          <w:color w:val="212121"/>
          <w:sz w:val="24"/>
          <w:szCs w:val="24"/>
        </w:rPr>
        <w:t xml:space="preserve"> due to lack of evidence or other circumstances</w:t>
      </w:r>
      <w:r w:rsidR="00471964">
        <w:rPr>
          <w:rFonts w:asciiTheme="majorBidi" w:eastAsia="Times New Roman" w:hAnsiTheme="majorBidi" w:cstheme="majorBidi"/>
          <w:color w:val="212121"/>
          <w:sz w:val="24"/>
          <w:szCs w:val="24"/>
        </w:rPr>
        <w:t xml:space="preserve"> including three SGBV cases</w:t>
      </w:r>
      <w:r>
        <w:rPr>
          <w:rFonts w:asciiTheme="majorBidi" w:eastAsia="Times New Roman" w:hAnsiTheme="majorBidi" w:cstheme="majorBidi"/>
          <w:color w:val="212121"/>
          <w:sz w:val="24"/>
          <w:szCs w:val="24"/>
        </w:rPr>
        <w:t>.</w:t>
      </w:r>
      <w:r w:rsidRPr="00124DF5">
        <w:rPr>
          <w:rFonts w:asciiTheme="majorBidi" w:eastAsia="Times New Roman" w:hAnsiTheme="majorBidi" w:cstheme="majorBidi"/>
          <w:color w:val="212121"/>
          <w:sz w:val="24"/>
          <w:szCs w:val="24"/>
        </w:rPr>
        <w:t xml:space="preserve"> </w:t>
      </w:r>
      <w:r>
        <w:rPr>
          <w:rFonts w:asciiTheme="majorBidi" w:eastAsia="Times New Roman" w:hAnsiTheme="majorBidi" w:cstheme="majorBidi"/>
          <w:color w:val="212121"/>
          <w:sz w:val="24"/>
          <w:szCs w:val="24"/>
        </w:rPr>
        <w:t xml:space="preserve">On the criminal cases, the cases include </w:t>
      </w:r>
      <w:r w:rsidRPr="00124DF5">
        <w:rPr>
          <w:rFonts w:ascii="Times New Roman" w:hAnsi="Times New Roman" w:cs="Times New Roman"/>
          <w:sz w:val="24"/>
          <w:szCs w:val="24"/>
        </w:rPr>
        <w:t xml:space="preserve">1 wrongful confinement and grievous hurt, 1 murder, 9 culpable homicides, 1 voluntarily causing hurt without provocation, 1 attempted suicide, 3 cheating, 1 criminal breach of trust, 2 traffic, </w:t>
      </w:r>
      <w:r>
        <w:rPr>
          <w:rFonts w:ascii="Times New Roman" w:hAnsi="Times New Roman" w:cs="Times New Roman"/>
          <w:sz w:val="24"/>
          <w:szCs w:val="24"/>
        </w:rPr>
        <w:t xml:space="preserve">and </w:t>
      </w:r>
      <w:r w:rsidRPr="00124DF5">
        <w:rPr>
          <w:rFonts w:ascii="Times New Roman" w:hAnsi="Times New Roman" w:cs="Times New Roman"/>
          <w:sz w:val="24"/>
          <w:szCs w:val="24"/>
        </w:rPr>
        <w:t xml:space="preserve">1 </w:t>
      </w:r>
      <w:r w:rsidR="00471964">
        <w:rPr>
          <w:rFonts w:ascii="Times New Roman" w:hAnsi="Times New Roman" w:cs="Times New Roman"/>
          <w:sz w:val="24"/>
          <w:szCs w:val="24"/>
        </w:rPr>
        <w:t>case</w:t>
      </w:r>
      <w:r>
        <w:rPr>
          <w:rFonts w:ascii="Times New Roman" w:hAnsi="Times New Roman" w:cs="Times New Roman"/>
          <w:sz w:val="24"/>
          <w:szCs w:val="24"/>
        </w:rPr>
        <w:t xml:space="preserve"> was of k</w:t>
      </w:r>
      <w:r w:rsidRPr="00124DF5">
        <w:rPr>
          <w:rFonts w:ascii="Times New Roman" w:hAnsi="Times New Roman" w:cs="Times New Roman"/>
          <w:sz w:val="24"/>
          <w:szCs w:val="24"/>
        </w:rPr>
        <w:t xml:space="preserve">illing or maiming an animal and 1 conviction under wildlife act, 1 theft, and </w:t>
      </w:r>
      <w:r w:rsidR="00471964">
        <w:rPr>
          <w:rFonts w:ascii="Times New Roman" w:hAnsi="Times New Roman" w:cs="Times New Roman"/>
          <w:sz w:val="24"/>
          <w:szCs w:val="24"/>
        </w:rPr>
        <w:t>1</w:t>
      </w:r>
      <w:r w:rsidRPr="00124DF5">
        <w:rPr>
          <w:rFonts w:ascii="Times New Roman" w:hAnsi="Times New Roman" w:cs="Times New Roman"/>
          <w:sz w:val="24"/>
          <w:szCs w:val="24"/>
        </w:rPr>
        <w:t xml:space="preserve"> unknown</w:t>
      </w:r>
      <w:r>
        <w:rPr>
          <w:rFonts w:ascii="Times New Roman" w:hAnsi="Times New Roman" w:cs="Times New Roman"/>
          <w:sz w:val="24"/>
          <w:szCs w:val="24"/>
        </w:rPr>
        <w:t xml:space="preserve"> </w:t>
      </w:r>
      <w:r w:rsidR="00471964">
        <w:rPr>
          <w:rFonts w:ascii="Times New Roman" w:hAnsi="Times New Roman" w:cs="Times New Roman"/>
          <w:sz w:val="24"/>
          <w:szCs w:val="24"/>
        </w:rPr>
        <w:t>case</w:t>
      </w:r>
      <w:r w:rsidRPr="00124DF5">
        <w:rPr>
          <w:rFonts w:ascii="Times New Roman" w:hAnsi="Times New Roman" w:cs="Times New Roman"/>
          <w:sz w:val="24"/>
          <w:szCs w:val="24"/>
        </w:rPr>
        <w:t xml:space="preserve">. </w:t>
      </w:r>
      <w:r>
        <w:rPr>
          <w:rFonts w:ascii="Times New Roman" w:hAnsi="Times New Roman" w:cs="Times New Roman"/>
          <w:sz w:val="24"/>
          <w:szCs w:val="24"/>
        </w:rPr>
        <w:t xml:space="preserve">For the </w:t>
      </w:r>
      <w:r w:rsidR="00471964">
        <w:rPr>
          <w:rFonts w:ascii="Times New Roman" w:hAnsi="Times New Roman" w:cs="Times New Roman"/>
          <w:sz w:val="24"/>
          <w:szCs w:val="24"/>
        </w:rPr>
        <w:t>twelve (</w:t>
      </w:r>
      <w:r w:rsidR="00471964" w:rsidRPr="00B56301">
        <w:rPr>
          <w:rFonts w:ascii="Times New Roman" w:hAnsi="Times New Roman" w:cs="Times New Roman"/>
          <w:i/>
          <w:iCs/>
          <w:sz w:val="24"/>
          <w:szCs w:val="24"/>
        </w:rPr>
        <w:t>12</w:t>
      </w:r>
      <w:r w:rsidR="00471964">
        <w:rPr>
          <w:rFonts w:ascii="Times New Roman" w:hAnsi="Times New Roman" w:cs="Times New Roman"/>
          <w:sz w:val="24"/>
          <w:szCs w:val="24"/>
        </w:rPr>
        <w:t>)</w:t>
      </w:r>
      <w:r>
        <w:rPr>
          <w:rFonts w:ascii="Times New Roman" w:hAnsi="Times New Roman" w:cs="Times New Roman"/>
          <w:sz w:val="24"/>
          <w:szCs w:val="24"/>
        </w:rPr>
        <w:t xml:space="preserve"> SGBV cases, only 1 rape case incident</w:t>
      </w:r>
      <w:r w:rsidR="00471964">
        <w:rPr>
          <w:rFonts w:ascii="Times New Roman" w:hAnsi="Times New Roman" w:cs="Times New Roman"/>
          <w:sz w:val="24"/>
          <w:szCs w:val="24"/>
        </w:rPr>
        <w:t xml:space="preserve"> (Section 247)</w:t>
      </w:r>
      <w:r>
        <w:rPr>
          <w:rFonts w:ascii="Times New Roman" w:hAnsi="Times New Roman" w:cs="Times New Roman"/>
          <w:sz w:val="24"/>
          <w:szCs w:val="24"/>
        </w:rPr>
        <w:t xml:space="preserve"> and </w:t>
      </w:r>
      <w:r w:rsidRPr="00124DF5">
        <w:rPr>
          <w:rFonts w:asciiTheme="majorBidi" w:eastAsia="Times New Roman" w:hAnsiTheme="majorBidi" w:cstheme="majorBidi"/>
          <w:color w:val="212121"/>
          <w:sz w:val="24"/>
          <w:szCs w:val="24"/>
        </w:rPr>
        <w:t>2</w:t>
      </w:r>
      <w:r w:rsidRPr="00124DF5">
        <w:rPr>
          <w:rFonts w:ascii="Times New Roman" w:hAnsi="Times New Roman" w:cs="Times New Roman"/>
          <w:sz w:val="24"/>
          <w:szCs w:val="24"/>
        </w:rPr>
        <w:t xml:space="preserve"> rape and miscarriage</w:t>
      </w:r>
      <w:r>
        <w:rPr>
          <w:rFonts w:ascii="Times New Roman" w:hAnsi="Times New Roman" w:cs="Times New Roman"/>
          <w:sz w:val="24"/>
          <w:szCs w:val="24"/>
        </w:rPr>
        <w:t xml:space="preserve"> under section 247, 216 (causing miscarriage), 22/23 of the Child Act (</w:t>
      </w:r>
      <w:r w:rsidRPr="00B56301">
        <w:rPr>
          <w:rFonts w:ascii="Times New Roman" w:hAnsi="Times New Roman" w:cs="Times New Roman"/>
          <w:i/>
          <w:iCs/>
          <w:sz w:val="24"/>
          <w:szCs w:val="24"/>
        </w:rPr>
        <w:t>2008</w:t>
      </w:r>
      <w:r>
        <w:rPr>
          <w:rFonts w:ascii="Times New Roman" w:hAnsi="Times New Roman" w:cs="Times New Roman"/>
          <w:sz w:val="24"/>
          <w:szCs w:val="24"/>
        </w:rPr>
        <w:t>)</w:t>
      </w:r>
      <w:r w:rsidR="00471964">
        <w:rPr>
          <w:rFonts w:ascii="Times New Roman" w:hAnsi="Times New Roman" w:cs="Times New Roman"/>
          <w:sz w:val="24"/>
          <w:szCs w:val="24"/>
        </w:rPr>
        <w:t xml:space="preserve"> were decided by the High Court judges</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w:t>
      </w:r>
    </w:p>
    <w:p w14:paraId="25FCB40C" w14:textId="340C8442" w:rsidR="00CE2341" w:rsidRDefault="00CE2341" w:rsidP="00124DF5">
      <w:pPr>
        <w:spacing w:after="0" w:line="240" w:lineRule="auto"/>
        <w:rPr>
          <w:rFonts w:asciiTheme="majorBidi" w:eastAsia="Times New Roman" w:hAnsiTheme="majorBidi" w:cstheme="majorBidi"/>
          <w:color w:val="212121"/>
          <w:sz w:val="24"/>
          <w:szCs w:val="24"/>
        </w:rPr>
      </w:pPr>
    </w:p>
    <w:p w14:paraId="2826FEFC" w14:textId="77777777" w:rsidR="00B56301" w:rsidRDefault="00B56301" w:rsidP="00B56301">
      <w:pPr>
        <w:spacing w:after="0" w:line="240" w:lineRule="auto"/>
        <w:rPr>
          <w:rFonts w:asciiTheme="majorBidi" w:eastAsia="Times New Roman" w:hAnsiTheme="majorBidi" w:cstheme="majorBidi"/>
          <w:color w:val="212121"/>
          <w:sz w:val="24"/>
          <w:szCs w:val="24"/>
        </w:rPr>
      </w:pPr>
      <w:r>
        <w:rPr>
          <w:rFonts w:asciiTheme="majorBidi" w:eastAsia="Times New Roman" w:hAnsiTheme="majorBidi" w:cstheme="majorBidi"/>
          <w:color w:val="212121"/>
          <w:sz w:val="24"/>
          <w:szCs w:val="24"/>
        </w:rPr>
        <w:t>During today’s</w:t>
      </w:r>
      <w:r w:rsidR="00543D9C">
        <w:rPr>
          <w:rFonts w:asciiTheme="majorBidi" w:eastAsia="Times New Roman" w:hAnsiTheme="majorBidi" w:cstheme="majorBidi"/>
          <w:color w:val="212121"/>
          <w:sz w:val="24"/>
          <w:szCs w:val="24"/>
        </w:rPr>
        <w:t xml:space="preserve"> Mobile Court monitoring, HRD was able to listen to one case court ruling, where the suspect was accused of carrying out attack and committing culpable homicide (</w:t>
      </w:r>
      <w:r>
        <w:rPr>
          <w:rFonts w:asciiTheme="majorBidi" w:eastAsia="Times New Roman" w:hAnsiTheme="majorBidi" w:cstheme="majorBidi"/>
          <w:i/>
          <w:iCs/>
          <w:color w:val="212121"/>
          <w:sz w:val="24"/>
          <w:szCs w:val="24"/>
        </w:rPr>
        <w:t>S</w:t>
      </w:r>
      <w:r w:rsidR="00543D9C" w:rsidRPr="00B56301">
        <w:rPr>
          <w:rFonts w:asciiTheme="majorBidi" w:eastAsia="Times New Roman" w:hAnsiTheme="majorBidi" w:cstheme="majorBidi"/>
          <w:i/>
          <w:iCs/>
          <w:color w:val="212121"/>
          <w:sz w:val="24"/>
          <w:szCs w:val="24"/>
        </w:rPr>
        <w:t>ection 206</w:t>
      </w:r>
      <w:r w:rsidR="00543D9C">
        <w:rPr>
          <w:rFonts w:asciiTheme="majorBidi" w:eastAsia="Times New Roman" w:hAnsiTheme="majorBidi" w:cstheme="majorBidi"/>
          <w:color w:val="212121"/>
          <w:sz w:val="24"/>
          <w:szCs w:val="24"/>
        </w:rPr>
        <w:t>) that resulted in two deaths</w:t>
      </w:r>
      <w:r>
        <w:rPr>
          <w:rFonts w:asciiTheme="majorBidi" w:eastAsia="Times New Roman" w:hAnsiTheme="majorBidi" w:cstheme="majorBidi"/>
          <w:color w:val="212121"/>
          <w:sz w:val="24"/>
          <w:szCs w:val="24"/>
        </w:rPr>
        <w:t>. The</w:t>
      </w:r>
      <w:r w:rsidR="00543D9C">
        <w:rPr>
          <w:rFonts w:asciiTheme="majorBidi" w:eastAsia="Times New Roman" w:hAnsiTheme="majorBidi" w:cstheme="majorBidi"/>
          <w:color w:val="212121"/>
          <w:sz w:val="24"/>
          <w:szCs w:val="24"/>
        </w:rPr>
        <w:t xml:space="preserve"> suspect w</w:t>
      </w:r>
      <w:r>
        <w:rPr>
          <w:rFonts w:asciiTheme="majorBidi" w:eastAsia="Times New Roman" w:hAnsiTheme="majorBidi" w:cstheme="majorBidi"/>
          <w:color w:val="212121"/>
          <w:sz w:val="24"/>
          <w:szCs w:val="24"/>
        </w:rPr>
        <w:t>as</w:t>
      </w:r>
      <w:r w:rsidR="00543D9C">
        <w:rPr>
          <w:rFonts w:asciiTheme="majorBidi" w:eastAsia="Times New Roman" w:hAnsiTheme="majorBidi" w:cstheme="majorBidi"/>
          <w:color w:val="212121"/>
          <w:sz w:val="24"/>
          <w:szCs w:val="24"/>
        </w:rPr>
        <w:t xml:space="preserve"> convicted to six-year </w:t>
      </w:r>
      <w:r>
        <w:rPr>
          <w:rFonts w:asciiTheme="majorBidi" w:eastAsia="Times New Roman" w:hAnsiTheme="majorBidi" w:cstheme="majorBidi"/>
          <w:color w:val="212121"/>
          <w:sz w:val="24"/>
          <w:szCs w:val="24"/>
        </w:rPr>
        <w:t xml:space="preserve">imprisonment and was ordered to pay </w:t>
      </w:r>
      <w:r w:rsidR="00543D9C">
        <w:rPr>
          <w:rFonts w:asciiTheme="majorBidi" w:eastAsia="Times New Roman" w:hAnsiTheme="majorBidi" w:cstheme="majorBidi"/>
          <w:color w:val="212121"/>
          <w:sz w:val="24"/>
          <w:szCs w:val="24"/>
        </w:rPr>
        <w:t xml:space="preserve">51 head of cattle </w:t>
      </w:r>
      <w:r>
        <w:rPr>
          <w:rFonts w:asciiTheme="majorBidi" w:eastAsia="Times New Roman" w:hAnsiTheme="majorBidi" w:cstheme="majorBidi"/>
          <w:color w:val="212121"/>
          <w:sz w:val="24"/>
          <w:szCs w:val="24"/>
        </w:rPr>
        <w:t>for each victim killing during the attack</w:t>
      </w:r>
      <w:r w:rsidR="00543D9C">
        <w:rPr>
          <w:rFonts w:asciiTheme="majorBidi" w:eastAsia="Times New Roman" w:hAnsiTheme="majorBidi" w:cstheme="majorBidi"/>
          <w:color w:val="212121"/>
          <w:sz w:val="24"/>
          <w:szCs w:val="24"/>
        </w:rPr>
        <w:t xml:space="preserve">, </w:t>
      </w:r>
      <w:r>
        <w:rPr>
          <w:rFonts w:asciiTheme="majorBidi" w:eastAsia="Times New Roman" w:hAnsiTheme="majorBidi" w:cstheme="majorBidi"/>
          <w:color w:val="212121"/>
          <w:sz w:val="24"/>
          <w:szCs w:val="24"/>
        </w:rPr>
        <w:t xml:space="preserve">ordered to pay </w:t>
      </w:r>
      <w:r w:rsidR="00543D9C">
        <w:rPr>
          <w:rFonts w:asciiTheme="majorBidi" w:eastAsia="Times New Roman" w:hAnsiTheme="majorBidi" w:cstheme="majorBidi"/>
          <w:color w:val="212121"/>
          <w:sz w:val="24"/>
          <w:szCs w:val="24"/>
        </w:rPr>
        <w:t>3 million SSP fines,</w:t>
      </w:r>
      <w:r>
        <w:rPr>
          <w:rFonts w:asciiTheme="majorBidi" w:eastAsia="Times New Roman" w:hAnsiTheme="majorBidi" w:cstheme="majorBidi"/>
          <w:color w:val="212121"/>
          <w:sz w:val="24"/>
          <w:szCs w:val="24"/>
        </w:rPr>
        <w:t xml:space="preserve"> and serve additional imprisonment if he failed to pay the 3 million fines. </w:t>
      </w:r>
    </w:p>
    <w:p w14:paraId="4DA6100A" w14:textId="77777777" w:rsidR="00B56301" w:rsidRDefault="00B56301" w:rsidP="00B56301">
      <w:pPr>
        <w:spacing w:after="0" w:line="240" w:lineRule="auto"/>
        <w:rPr>
          <w:rFonts w:asciiTheme="majorBidi" w:eastAsia="Times New Roman" w:hAnsiTheme="majorBidi" w:cstheme="majorBidi"/>
          <w:color w:val="212121"/>
          <w:sz w:val="24"/>
          <w:szCs w:val="24"/>
        </w:rPr>
      </w:pPr>
    </w:p>
    <w:p w14:paraId="2ED0D748" w14:textId="22E5654D" w:rsidR="00B56301" w:rsidRPr="00B56301" w:rsidRDefault="0043294C" w:rsidP="00B56301">
      <w:pPr>
        <w:pStyle w:val="ListParagraph"/>
        <w:numPr>
          <w:ilvl w:val="0"/>
          <w:numId w:val="15"/>
        </w:numPr>
        <w:spacing w:after="0" w:line="240" w:lineRule="auto"/>
        <w:rPr>
          <w:rFonts w:asciiTheme="majorBidi" w:eastAsia="Times New Roman" w:hAnsiTheme="majorBidi" w:cstheme="majorBidi"/>
          <w:color w:val="212121"/>
          <w:sz w:val="24"/>
          <w:szCs w:val="24"/>
        </w:rPr>
      </w:pPr>
      <w:r w:rsidRPr="00B56301">
        <w:rPr>
          <w:rFonts w:asciiTheme="majorBidi" w:hAnsiTheme="majorBidi" w:cstheme="majorBidi"/>
          <w:b/>
          <w:bCs/>
          <w:i/>
          <w:iCs/>
          <w:sz w:val="24"/>
          <w:szCs w:val="24"/>
        </w:rPr>
        <w:lastRenderedPageBreak/>
        <w:t>HRD engaged and raised concern with the victim and witness advocate the light sentences</w:t>
      </w:r>
      <w:r w:rsidR="00B56301">
        <w:rPr>
          <w:rFonts w:asciiTheme="majorBidi" w:hAnsiTheme="majorBidi" w:cstheme="majorBidi"/>
          <w:b/>
          <w:bCs/>
          <w:i/>
          <w:iCs/>
          <w:sz w:val="24"/>
          <w:szCs w:val="24"/>
        </w:rPr>
        <w:t xml:space="preserve"> given to suspect convicted of serious cases (Section 206 or 247). </w:t>
      </w:r>
    </w:p>
    <w:p w14:paraId="76DDBF3A" w14:textId="77777777" w:rsidR="00C4363D" w:rsidRDefault="00B56301" w:rsidP="00B56301">
      <w:pPr>
        <w:spacing w:after="0" w:line="240" w:lineRule="auto"/>
        <w:rPr>
          <w:rFonts w:asciiTheme="majorBidi" w:eastAsia="Times New Roman" w:hAnsiTheme="majorBidi" w:cstheme="majorBidi"/>
          <w:color w:val="212121"/>
          <w:sz w:val="24"/>
          <w:szCs w:val="24"/>
        </w:rPr>
      </w:pPr>
      <w:r>
        <w:rPr>
          <w:rFonts w:asciiTheme="majorBidi" w:eastAsia="Times New Roman" w:hAnsiTheme="majorBidi" w:cstheme="majorBidi"/>
          <w:color w:val="212121"/>
          <w:sz w:val="24"/>
          <w:szCs w:val="24"/>
        </w:rPr>
        <w:t xml:space="preserve">On 20 October 2025, HRD carried out a bilateral engagement meeting and discussions with the victims and witness advocate on the issue observed and noted by the HRD during the Mobile Court trial. During the Mobile Court, HRD observed that the </w:t>
      </w:r>
      <w:r w:rsidR="00CE4416">
        <w:rPr>
          <w:rFonts w:asciiTheme="majorBidi" w:eastAsia="Times New Roman" w:hAnsiTheme="majorBidi" w:cstheme="majorBidi"/>
          <w:color w:val="212121"/>
          <w:sz w:val="24"/>
          <w:szCs w:val="24"/>
        </w:rPr>
        <w:t>First Hight Judge had convicted</w:t>
      </w:r>
      <w:r>
        <w:rPr>
          <w:rFonts w:asciiTheme="majorBidi" w:eastAsia="Times New Roman" w:hAnsiTheme="majorBidi" w:cstheme="majorBidi"/>
          <w:color w:val="212121"/>
          <w:sz w:val="24"/>
          <w:szCs w:val="24"/>
        </w:rPr>
        <w:t xml:space="preserve"> and sentenced serious offender</w:t>
      </w:r>
      <w:r w:rsidR="00CE4416">
        <w:rPr>
          <w:rFonts w:asciiTheme="majorBidi" w:eastAsia="Times New Roman" w:hAnsiTheme="majorBidi" w:cstheme="majorBidi"/>
          <w:color w:val="212121"/>
          <w:sz w:val="24"/>
          <w:szCs w:val="24"/>
        </w:rPr>
        <w:t>s</w:t>
      </w:r>
      <w:r>
        <w:rPr>
          <w:rFonts w:asciiTheme="majorBidi" w:eastAsia="Times New Roman" w:hAnsiTheme="majorBidi" w:cstheme="majorBidi"/>
          <w:color w:val="212121"/>
          <w:sz w:val="24"/>
          <w:szCs w:val="24"/>
        </w:rPr>
        <w:t xml:space="preserve"> with light </w:t>
      </w:r>
      <w:r w:rsidR="00CE4416">
        <w:rPr>
          <w:rFonts w:asciiTheme="majorBidi" w:eastAsia="Times New Roman" w:hAnsiTheme="majorBidi" w:cstheme="majorBidi"/>
          <w:color w:val="212121"/>
          <w:sz w:val="24"/>
          <w:szCs w:val="24"/>
        </w:rPr>
        <w:t>sentences</w:t>
      </w:r>
      <w:r>
        <w:rPr>
          <w:rFonts w:asciiTheme="majorBidi" w:eastAsia="Times New Roman" w:hAnsiTheme="majorBidi" w:cstheme="majorBidi"/>
          <w:color w:val="212121"/>
          <w:sz w:val="24"/>
          <w:szCs w:val="24"/>
        </w:rPr>
        <w:t xml:space="preserve"> </w:t>
      </w:r>
      <w:r w:rsidR="00CE4416">
        <w:rPr>
          <w:rFonts w:asciiTheme="majorBidi" w:eastAsia="Times New Roman" w:hAnsiTheme="majorBidi" w:cstheme="majorBidi"/>
          <w:color w:val="212121"/>
          <w:sz w:val="24"/>
          <w:szCs w:val="24"/>
        </w:rPr>
        <w:t xml:space="preserve">(less sentences) </w:t>
      </w:r>
      <w:r>
        <w:rPr>
          <w:rFonts w:asciiTheme="majorBidi" w:eastAsia="Times New Roman" w:hAnsiTheme="majorBidi" w:cstheme="majorBidi"/>
          <w:color w:val="212121"/>
          <w:sz w:val="24"/>
          <w:szCs w:val="24"/>
        </w:rPr>
        <w:t xml:space="preserve">ranging </w:t>
      </w:r>
      <w:r w:rsidR="00CE4416">
        <w:rPr>
          <w:rFonts w:asciiTheme="majorBidi" w:eastAsia="Times New Roman" w:hAnsiTheme="majorBidi" w:cstheme="majorBidi"/>
          <w:color w:val="212121"/>
          <w:sz w:val="24"/>
          <w:szCs w:val="24"/>
        </w:rPr>
        <w:t>from one- six-year imprisonment, despite the seriousness of the offenses. Some of these offenses include those accused of rape, gang rape, and murder (</w:t>
      </w:r>
      <w:r w:rsidR="00CE4416" w:rsidRPr="00CE4416">
        <w:rPr>
          <w:rFonts w:asciiTheme="majorBidi" w:eastAsia="Times New Roman" w:hAnsiTheme="majorBidi" w:cstheme="majorBidi"/>
          <w:i/>
          <w:iCs/>
          <w:color w:val="212121"/>
          <w:sz w:val="24"/>
          <w:szCs w:val="24"/>
        </w:rPr>
        <w:t>culpable homicide</w:t>
      </w:r>
      <w:r w:rsidR="00CE4416">
        <w:rPr>
          <w:rFonts w:asciiTheme="majorBidi" w:eastAsia="Times New Roman" w:hAnsiTheme="majorBidi" w:cstheme="majorBidi"/>
          <w:color w:val="212121"/>
          <w:sz w:val="24"/>
          <w:szCs w:val="24"/>
        </w:rPr>
        <w:t xml:space="preserve">). The victims and witness protection informed HRD that she had tried her best to raise the issue with the judge, but the judge continues to give the lesser sentences. HRD is highly concerned about the way in which the judge is addressing criminalities in a State that has been badly affected by the absence of formal justice system with a </w:t>
      </w:r>
      <w:r w:rsidR="00C4363D">
        <w:rPr>
          <w:rFonts w:asciiTheme="majorBidi" w:eastAsia="Times New Roman" w:hAnsiTheme="majorBidi" w:cstheme="majorBidi"/>
          <w:color w:val="212121"/>
          <w:sz w:val="24"/>
          <w:szCs w:val="24"/>
        </w:rPr>
        <w:t>lot of</w:t>
      </w:r>
      <w:r w:rsidR="00CE4416">
        <w:rPr>
          <w:rFonts w:asciiTheme="majorBidi" w:eastAsia="Times New Roman" w:hAnsiTheme="majorBidi" w:cstheme="majorBidi"/>
          <w:color w:val="212121"/>
          <w:sz w:val="24"/>
          <w:szCs w:val="24"/>
        </w:rPr>
        <w:t xml:space="preserve"> backlog cases. </w:t>
      </w:r>
      <w:r w:rsidR="00C4363D">
        <w:rPr>
          <w:rFonts w:asciiTheme="majorBidi" w:eastAsia="Times New Roman" w:hAnsiTheme="majorBidi" w:cstheme="majorBidi"/>
          <w:color w:val="212121"/>
          <w:sz w:val="24"/>
          <w:szCs w:val="24"/>
        </w:rPr>
        <w:t xml:space="preserve">HRD is also concerned about the judge’s decision, which may give a bad impression to criminals. </w:t>
      </w:r>
    </w:p>
    <w:p w14:paraId="33E6E3FD" w14:textId="77777777" w:rsidR="00C4363D" w:rsidRDefault="00C4363D" w:rsidP="00B56301">
      <w:pPr>
        <w:spacing w:after="0" w:line="240" w:lineRule="auto"/>
        <w:rPr>
          <w:rFonts w:asciiTheme="majorBidi" w:eastAsia="Times New Roman" w:hAnsiTheme="majorBidi" w:cstheme="majorBidi"/>
          <w:color w:val="212121"/>
          <w:sz w:val="24"/>
          <w:szCs w:val="24"/>
        </w:rPr>
      </w:pPr>
    </w:p>
    <w:p w14:paraId="2E11051E" w14:textId="1C6FA186" w:rsidR="00B56301" w:rsidRPr="00B56301" w:rsidRDefault="00C4363D" w:rsidP="00B56301">
      <w:pPr>
        <w:spacing w:after="0" w:line="240" w:lineRule="auto"/>
        <w:rPr>
          <w:rFonts w:asciiTheme="majorBidi" w:eastAsia="Times New Roman" w:hAnsiTheme="majorBidi" w:cstheme="majorBidi"/>
          <w:color w:val="212121"/>
          <w:sz w:val="24"/>
          <w:szCs w:val="24"/>
        </w:rPr>
      </w:pPr>
      <w:r w:rsidRPr="00C4363D">
        <w:rPr>
          <w:rFonts w:asciiTheme="majorBidi" w:eastAsia="Times New Roman" w:hAnsiTheme="majorBidi" w:cstheme="majorBidi"/>
          <w:b/>
          <w:bCs/>
          <w:color w:val="212121"/>
          <w:sz w:val="24"/>
          <w:szCs w:val="24"/>
        </w:rPr>
        <w:t>Comment</w:t>
      </w:r>
      <w:r>
        <w:rPr>
          <w:rFonts w:asciiTheme="majorBidi" w:eastAsia="Times New Roman" w:hAnsiTheme="majorBidi" w:cstheme="majorBidi"/>
          <w:color w:val="212121"/>
          <w:sz w:val="24"/>
          <w:szCs w:val="24"/>
        </w:rPr>
        <w:t>: HRD</w:t>
      </w:r>
      <w:r w:rsidRPr="00C4363D">
        <w:rPr>
          <w:rFonts w:asciiTheme="majorBidi" w:eastAsia="Times New Roman" w:hAnsiTheme="majorBidi" w:cstheme="majorBidi"/>
          <w:i/>
          <w:iCs/>
          <w:color w:val="212121"/>
          <w:sz w:val="24"/>
          <w:szCs w:val="24"/>
        </w:rPr>
        <w:t xml:space="preserve"> is planning to have serious engagement with the judge </w:t>
      </w:r>
      <w:r>
        <w:rPr>
          <w:rFonts w:asciiTheme="majorBidi" w:eastAsia="Times New Roman" w:hAnsiTheme="majorBidi" w:cstheme="majorBidi"/>
          <w:i/>
          <w:iCs/>
          <w:color w:val="212121"/>
          <w:sz w:val="24"/>
          <w:szCs w:val="24"/>
        </w:rPr>
        <w:t xml:space="preserve">on the issue and </w:t>
      </w:r>
      <w:r w:rsidRPr="00C4363D">
        <w:rPr>
          <w:rFonts w:asciiTheme="majorBidi" w:eastAsia="Times New Roman" w:hAnsiTheme="majorBidi" w:cstheme="majorBidi"/>
          <w:i/>
          <w:iCs/>
          <w:color w:val="212121"/>
          <w:sz w:val="24"/>
          <w:szCs w:val="24"/>
        </w:rPr>
        <w:t>consult with the</w:t>
      </w:r>
      <w:r>
        <w:rPr>
          <w:rFonts w:asciiTheme="majorBidi" w:eastAsia="Times New Roman" w:hAnsiTheme="majorBidi" w:cstheme="majorBidi"/>
          <w:i/>
          <w:iCs/>
          <w:color w:val="212121"/>
          <w:sz w:val="24"/>
          <w:szCs w:val="24"/>
        </w:rPr>
        <w:t xml:space="preserve"> Ministry of Justice and the office of Chief Justice on the issue. </w:t>
      </w:r>
    </w:p>
    <w:p w14:paraId="6A946400" w14:textId="77777777" w:rsidR="0043294C" w:rsidRPr="00D4173C" w:rsidRDefault="0043294C" w:rsidP="0043294C">
      <w:pPr>
        <w:spacing w:after="0" w:line="240" w:lineRule="atLeast"/>
        <w:ind w:left="360"/>
        <w:contextualSpacing/>
        <w:jc w:val="both"/>
        <w:rPr>
          <w:rFonts w:asciiTheme="majorBidi" w:eastAsia="Palatino Linotype" w:hAnsiTheme="majorBidi" w:cstheme="majorBidi"/>
          <w:b/>
          <w:sz w:val="24"/>
          <w:szCs w:val="24"/>
        </w:rPr>
      </w:pPr>
    </w:p>
    <w:p w14:paraId="4EA3A3C9" w14:textId="28F0674C" w:rsidR="00AC26F1"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Transitional Justice</w:t>
      </w:r>
      <w:r w:rsidR="00AC26F1" w:rsidRPr="00D4173C">
        <w:rPr>
          <w:rFonts w:asciiTheme="majorBidi" w:eastAsia="Palatino Linotype" w:hAnsiTheme="majorBidi" w:cstheme="majorBidi"/>
          <w:b/>
          <w:sz w:val="24"/>
          <w:szCs w:val="24"/>
        </w:rPr>
        <w:t>.</w:t>
      </w:r>
    </w:p>
    <w:p w14:paraId="54581CE3" w14:textId="7617AB6E" w:rsidR="00BA2489"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Engagement and Capacity Building</w:t>
      </w:r>
      <w:r w:rsidR="00F34260" w:rsidRPr="00D4173C">
        <w:rPr>
          <w:rFonts w:asciiTheme="majorBidi" w:eastAsia="Palatino Linotype" w:hAnsiTheme="majorBidi" w:cstheme="majorBidi"/>
          <w:bCs/>
          <w:i/>
          <w:iCs/>
          <w:sz w:val="24"/>
          <w:szCs w:val="24"/>
        </w:rPr>
        <w:t xml:space="preserve">. </w:t>
      </w:r>
    </w:p>
    <w:p w14:paraId="414C0FB6" w14:textId="0AAE998F" w:rsidR="00872A4D" w:rsidRPr="00D4173C" w:rsidRDefault="00CC3E4B" w:rsidP="00BE3EE6">
      <w:pPr>
        <w:numPr>
          <w:ilvl w:val="0"/>
          <w:numId w:val="1"/>
        </w:numPr>
        <w:spacing w:after="0" w:line="240" w:lineRule="atLeast"/>
        <w:ind w:left="284"/>
        <w:contextualSpacing/>
        <w:jc w:val="both"/>
        <w:rPr>
          <w:rFonts w:asciiTheme="majorBidi" w:eastAsia="Palatino Linotype" w:hAnsiTheme="majorBidi" w:cstheme="majorBidi"/>
          <w:bCs/>
          <w:sz w:val="24"/>
          <w:szCs w:val="24"/>
        </w:rPr>
      </w:pPr>
      <w:r w:rsidRPr="00D4173C">
        <w:rPr>
          <w:rFonts w:asciiTheme="majorBidi" w:eastAsia="Palatino Linotype" w:hAnsiTheme="majorBidi" w:cstheme="majorBidi"/>
          <w:b/>
          <w:sz w:val="24"/>
          <w:szCs w:val="24"/>
        </w:rPr>
        <w:t>Other Key Human Rights and Protection Concerns.</w:t>
      </w:r>
    </w:p>
    <w:sectPr w:rsidR="00872A4D" w:rsidRPr="00D4173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EF82" w14:textId="77777777" w:rsidR="002037E7" w:rsidRDefault="002037E7" w:rsidP="004C4101">
      <w:pPr>
        <w:spacing w:after="0" w:line="240" w:lineRule="auto"/>
      </w:pPr>
      <w:r>
        <w:separator/>
      </w:r>
    </w:p>
  </w:endnote>
  <w:endnote w:type="continuationSeparator" w:id="0">
    <w:p w14:paraId="5283D02D" w14:textId="77777777" w:rsidR="002037E7" w:rsidRDefault="002037E7"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64F5F435"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C4363D">
          <w:rPr>
            <w:rFonts w:ascii="Times New Roman" w:hAnsi="Times New Roman" w:cs="Times New Roman"/>
            <w:color w:val="0070C0"/>
            <w:sz w:val="20"/>
            <w:szCs w:val="20"/>
          </w:rPr>
          <w:t>20</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929C4" w14:textId="77777777" w:rsidR="002037E7" w:rsidRDefault="002037E7" w:rsidP="004C4101">
      <w:pPr>
        <w:spacing w:after="0" w:line="240" w:lineRule="auto"/>
      </w:pPr>
      <w:r>
        <w:separator/>
      </w:r>
    </w:p>
  </w:footnote>
  <w:footnote w:type="continuationSeparator" w:id="0">
    <w:p w14:paraId="1F44EFD5" w14:textId="77777777" w:rsidR="002037E7" w:rsidRDefault="002037E7" w:rsidP="004C4101">
      <w:pPr>
        <w:spacing w:after="0" w:line="240" w:lineRule="auto"/>
      </w:pPr>
      <w:r>
        <w:continuationSeparator/>
      </w:r>
    </w:p>
  </w:footnote>
  <w:footnote w:id="1">
    <w:p w14:paraId="5F3AB93B" w14:textId="3C5A29AB" w:rsidR="00CE2341" w:rsidRDefault="00CE2341" w:rsidP="00CE2341">
      <w:pPr>
        <w:pStyle w:val="FootnoteText"/>
      </w:pPr>
      <w:r>
        <w:rPr>
          <w:rStyle w:val="FootnoteReference"/>
        </w:rPr>
        <w:footnoteRef/>
      </w:r>
      <w:r>
        <w:t xml:space="preserve"> </w:t>
      </w:r>
      <w:r w:rsidR="00B96CE4">
        <w:t xml:space="preserve">UNMISS </w:t>
      </w:r>
      <w:r w:rsidR="00C67F29">
        <w:t>RoLSIS Report</w:t>
      </w:r>
      <w:r w:rsidR="00B96CE4">
        <w:t xml:space="preserve"> of 15, 16, and 17 October 2025.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4B5C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371F1"/>
    <w:multiLevelType w:val="hybridMultilevel"/>
    <w:tmpl w:val="9796C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99077B"/>
    <w:multiLevelType w:val="hybridMultilevel"/>
    <w:tmpl w:val="673A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11142B"/>
    <w:multiLevelType w:val="hybridMultilevel"/>
    <w:tmpl w:val="B0AC4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D34009"/>
    <w:multiLevelType w:val="hybridMultilevel"/>
    <w:tmpl w:val="23CED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6"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7"/>
  </w:num>
  <w:num w:numId="2" w16cid:durableId="395399109">
    <w:abstractNumId w:val="2"/>
  </w:num>
  <w:num w:numId="3" w16cid:durableId="1713265759">
    <w:abstractNumId w:val="0"/>
  </w:num>
  <w:num w:numId="4" w16cid:durableId="802162705">
    <w:abstractNumId w:val="3"/>
  </w:num>
  <w:num w:numId="5" w16cid:durableId="1092363264">
    <w:abstractNumId w:val="11"/>
  </w:num>
  <w:num w:numId="6" w16cid:durableId="734858615">
    <w:abstractNumId w:val="5"/>
  </w:num>
  <w:num w:numId="7" w16cid:durableId="186795121">
    <w:abstractNumId w:val="13"/>
  </w:num>
  <w:num w:numId="8" w16cid:durableId="1151023901">
    <w:abstractNumId w:val="10"/>
  </w:num>
  <w:num w:numId="9" w16cid:durableId="49310161">
    <w:abstractNumId w:val="14"/>
  </w:num>
  <w:num w:numId="10" w16cid:durableId="540361275">
    <w:abstractNumId w:val="1"/>
  </w:num>
  <w:num w:numId="11" w16cid:durableId="1405254272">
    <w:abstractNumId w:val="16"/>
  </w:num>
  <w:num w:numId="12" w16cid:durableId="746726826">
    <w:abstractNumId w:val="15"/>
  </w:num>
  <w:num w:numId="13" w16cid:durableId="2008433917">
    <w:abstractNumId w:val="7"/>
  </w:num>
  <w:num w:numId="14" w16cid:durableId="1071661601">
    <w:abstractNumId w:val="8"/>
  </w:num>
  <w:num w:numId="15" w16cid:durableId="65274960">
    <w:abstractNumId w:val="4"/>
  </w:num>
  <w:num w:numId="16" w16cid:durableId="1913923745">
    <w:abstractNumId w:val="12"/>
  </w:num>
  <w:num w:numId="17" w16cid:durableId="618224908">
    <w:abstractNumId w:val="9"/>
  </w:num>
  <w:num w:numId="18" w16cid:durableId="1853448559">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3043"/>
    <w:rsid w:val="000465A3"/>
    <w:rsid w:val="00050AC6"/>
    <w:rsid w:val="000555D8"/>
    <w:rsid w:val="00055A84"/>
    <w:rsid w:val="00057857"/>
    <w:rsid w:val="00057A77"/>
    <w:rsid w:val="00062D68"/>
    <w:rsid w:val="00067C36"/>
    <w:rsid w:val="00071445"/>
    <w:rsid w:val="000721C8"/>
    <w:rsid w:val="000751E6"/>
    <w:rsid w:val="000761BF"/>
    <w:rsid w:val="00076A58"/>
    <w:rsid w:val="000774A1"/>
    <w:rsid w:val="00077BCF"/>
    <w:rsid w:val="00085B02"/>
    <w:rsid w:val="00087043"/>
    <w:rsid w:val="000966F6"/>
    <w:rsid w:val="000A01AD"/>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5DA0"/>
    <w:rsid w:val="00115EB3"/>
    <w:rsid w:val="00117E33"/>
    <w:rsid w:val="00124A15"/>
    <w:rsid w:val="00124DF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7E7"/>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5535"/>
    <w:rsid w:val="0031762D"/>
    <w:rsid w:val="00321AD1"/>
    <w:rsid w:val="00321E58"/>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6B02"/>
    <w:rsid w:val="00406C04"/>
    <w:rsid w:val="00407CE1"/>
    <w:rsid w:val="00421507"/>
    <w:rsid w:val="00424B04"/>
    <w:rsid w:val="00424C28"/>
    <w:rsid w:val="004265F3"/>
    <w:rsid w:val="00430D94"/>
    <w:rsid w:val="0043294C"/>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1964"/>
    <w:rsid w:val="00472CA5"/>
    <w:rsid w:val="00473BAA"/>
    <w:rsid w:val="00475079"/>
    <w:rsid w:val="0047756F"/>
    <w:rsid w:val="00477745"/>
    <w:rsid w:val="00480600"/>
    <w:rsid w:val="004835C5"/>
    <w:rsid w:val="004864A3"/>
    <w:rsid w:val="00486615"/>
    <w:rsid w:val="0049092C"/>
    <w:rsid w:val="00496A14"/>
    <w:rsid w:val="004A1340"/>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3D9C"/>
    <w:rsid w:val="00544578"/>
    <w:rsid w:val="00545140"/>
    <w:rsid w:val="005453E1"/>
    <w:rsid w:val="005473BE"/>
    <w:rsid w:val="00547FCF"/>
    <w:rsid w:val="0055118B"/>
    <w:rsid w:val="005564B8"/>
    <w:rsid w:val="0056235E"/>
    <w:rsid w:val="00562C99"/>
    <w:rsid w:val="00564DEA"/>
    <w:rsid w:val="00565E14"/>
    <w:rsid w:val="00567C72"/>
    <w:rsid w:val="0057184B"/>
    <w:rsid w:val="00573476"/>
    <w:rsid w:val="00575337"/>
    <w:rsid w:val="005759BF"/>
    <w:rsid w:val="00577473"/>
    <w:rsid w:val="005774BA"/>
    <w:rsid w:val="005820FF"/>
    <w:rsid w:val="005845A1"/>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5F7D"/>
    <w:rsid w:val="00676293"/>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47A"/>
    <w:rsid w:val="0078262F"/>
    <w:rsid w:val="00783419"/>
    <w:rsid w:val="00791396"/>
    <w:rsid w:val="007913CF"/>
    <w:rsid w:val="00796120"/>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D7804"/>
    <w:rsid w:val="008E07B3"/>
    <w:rsid w:val="008E157D"/>
    <w:rsid w:val="008E1820"/>
    <w:rsid w:val="008E1AE3"/>
    <w:rsid w:val="00900C1A"/>
    <w:rsid w:val="00903414"/>
    <w:rsid w:val="00905939"/>
    <w:rsid w:val="009063C1"/>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C53"/>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56301"/>
    <w:rsid w:val="00B60A17"/>
    <w:rsid w:val="00B63538"/>
    <w:rsid w:val="00B653A0"/>
    <w:rsid w:val="00B67F37"/>
    <w:rsid w:val="00B71E35"/>
    <w:rsid w:val="00B80807"/>
    <w:rsid w:val="00B812A5"/>
    <w:rsid w:val="00B8465A"/>
    <w:rsid w:val="00B9096B"/>
    <w:rsid w:val="00B92EA7"/>
    <w:rsid w:val="00B94C75"/>
    <w:rsid w:val="00B950F4"/>
    <w:rsid w:val="00B96CE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C7BD3"/>
    <w:rsid w:val="00BD037B"/>
    <w:rsid w:val="00BD07D0"/>
    <w:rsid w:val="00BD2CBB"/>
    <w:rsid w:val="00BD6691"/>
    <w:rsid w:val="00BE3F00"/>
    <w:rsid w:val="00BE40A9"/>
    <w:rsid w:val="00BE4F0D"/>
    <w:rsid w:val="00BE60ED"/>
    <w:rsid w:val="00BF34A3"/>
    <w:rsid w:val="00BF36A1"/>
    <w:rsid w:val="00BF4BEB"/>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08F6"/>
    <w:rsid w:val="00C37F52"/>
    <w:rsid w:val="00C40B3A"/>
    <w:rsid w:val="00C43159"/>
    <w:rsid w:val="00C4363D"/>
    <w:rsid w:val="00C44C2D"/>
    <w:rsid w:val="00C46E44"/>
    <w:rsid w:val="00C50911"/>
    <w:rsid w:val="00C516FD"/>
    <w:rsid w:val="00C52BB0"/>
    <w:rsid w:val="00C55789"/>
    <w:rsid w:val="00C559DD"/>
    <w:rsid w:val="00C55F6E"/>
    <w:rsid w:val="00C576C1"/>
    <w:rsid w:val="00C65C32"/>
    <w:rsid w:val="00C65FCF"/>
    <w:rsid w:val="00C679CF"/>
    <w:rsid w:val="00C67A9A"/>
    <w:rsid w:val="00C67F29"/>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2341"/>
    <w:rsid w:val="00CE3842"/>
    <w:rsid w:val="00CE4416"/>
    <w:rsid w:val="00CE45C0"/>
    <w:rsid w:val="00CE45DF"/>
    <w:rsid w:val="00CE6F81"/>
    <w:rsid w:val="00CF1E33"/>
    <w:rsid w:val="00CF33FE"/>
    <w:rsid w:val="00CF3D2A"/>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7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 w:type="paragraph" w:styleId="CommentText">
    <w:name w:val="annotation text"/>
    <w:basedOn w:val="Normal"/>
    <w:link w:val="CommentTextChar"/>
    <w:uiPriority w:val="99"/>
    <w:unhideWhenUsed/>
    <w:rsid w:val="00BF4BEB"/>
    <w:pPr>
      <w:spacing w:line="240" w:lineRule="auto"/>
    </w:pPr>
    <w:rPr>
      <w:rFonts w:ascii="Calibri" w:eastAsia="Calibri" w:hAnsi="Calibri" w:cs="SimSun"/>
      <w:sz w:val="20"/>
      <w:szCs w:val="20"/>
    </w:rPr>
  </w:style>
  <w:style w:type="character" w:customStyle="1" w:styleId="CommentTextChar">
    <w:name w:val="Comment Text Char"/>
    <w:basedOn w:val="DefaultParagraphFont"/>
    <w:link w:val="CommentText"/>
    <w:uiPriority w:val="99"/>
    <w:rsid w:val="00BF4BEB"/>
    <w:rPr>
      <w:rFonts w:ascii="Calibri" w:eastAsia="Calibri" w:hAnsi="Calibri" w:cs="SimSu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3</cp:revision>
  <dcterms:created xsi:type="dcterms:W3CDTF">2025-10-20T16:15:00Z</dcterms:created>
  <dcterms:modified xsi:type="dcterms:W3CDTF">2025-10-20T16:19:00Z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