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5pt;height:29.4pt" o:ole="">
            <v:imagedata r:id="rId11" o:title=""/>
          </v:shape>
          <o:OLEObject Type="Embed" ProgID="StaticMetafile" ShapeID="_x0000_i1025" DrawAspect="Content" ObjectID="_1823091763"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5A6A4F" w:rsidRDefault="00000000">
      <w:pPr>
        <w:spacing w:after="0" w:line="240" w:lineRule="auto"/>
        <w:jc w:val="center"/>
        <w:rPr>
          <w:rFonts w:ascii="Times New Roman" w:eastAsia="Times New Roman" w:hAnsi="Times New Roman" w:cs="Times New Roman"/>
          <w:b/>
          <w:sz w:val="24"/>
          <w:szCs w:val="24"/>
        </w:rPr>
      </w:pPr>
      <w:r w:rsidRPr="005A6A4F">
        <w:rPr>
          <w:rFonts w:ascii="Times New Roman" w:eastAsia="Times New Roman" w:hAnsi="Times New Roman" w:cs="Times New Roman"/>
          <w:b/>
          <w:sz w:val="24"/>
          <w:szCs w:val="24"/>
        </w:rPr>
        <w:t>Human Rights Division (HRD)</w:t>
      </w:r>
    </w:p>
    <w:p w14:paraId="4C5040B2" w14:textId="77777777" w:rsidR="00D445CC" w:rsidRPr="005A6A4F"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5A6A4F" w:rsidRDefault="00000000">
      <w:pPr>
        <w:spacing w:after="0" w:line="240" w:lineRule="auto"/>
        <w:jc w:val="center"/>
        <w:rPr>
          <w:rFonts w:ascii="Times New Roman" w:eastAsia="Times New Roman" w:hAnsi="Times New Roman" w:cs="Times New Roman"/>
          <w:b/>
          <w:sz w:val="24"/>
          <w:szCs w:val="24"/>
        </w:rPr>
      </w:pPr>
      <w:r w:rsidRPr="005A6A4F">
        <w:rPr>
          <w:rFonts w:ascii="Times New Roman" w:eastAsia="Times New Roman" w:hAnsi="Times New Roman" w:cs="Times New Roman"/>
          <w:b/>
          <w:sz w:val="24"/>
          <w:szCs w:val="24"/>
        </w:rPr>
        <w:t>Bor Field Office Daily Report</w:t>
      </w:r>
    </w:p>
    <w:p w14:paraId="41658BBE" w14:textId="77777777" w:rsidR="00D445CC" w:rsidRPr="005A6A4F" w:rsidRDefault="00D445CC">
      <w:pPr>
        <w:spacing w:after="0" w:line="240" w:lineRule="auto"/>
        <w:jc w:val="center"/>
        <w:rPr>
          <w:rFonts w:ascii="Times New Roman" w:eastAsia="Times New Roman" w:hAnsi="Times New Roman" w:cs="Times New Roman"/>
          <w:b/>
          <w:sz w:val="24"/>
          <w:szCs w:val="24"/>
        </w:rPr>
      </w:pPr>
    </w:p>
    <w:p w14:paraId="6FAEC5B9" w14:textId="3086B913" w:rsidR="00D445CC" w:rsidRPr="005A6A4F" w:rsidRDefault="00B94C7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27</w:t>
      </w:r>
      <w:r w:rsidR="006572FA" w:rsidRPr="005A6A4F">
        <w:rPr>
          <w:rFonts w:ascii="Times New Roman" w:eastAsia="Times New Roman" w:hAnsi="Times New Roman" w:cs="Times New Roman"/>
          <w:b/>
          <w:sz w:val="24"/>
          <w:szCs w:val="24"/>
        </w:rPr>
        <w:t>/</w:t>
      </w:r>
      <w:r w:rsidR="00BB6C72" w:rsidRPr="005A6A4F">
        <w:rPr>
          <w:rFonts w:ascii="Times New Roman" w:eastAsia="Times New Roman" w:hAnsi="Times New Roman" w:cs="Times New Roman"/>
          <w:b/>
          <w:sz w:val="24"/>
          <w:szCs w:val="24"/>
        </w:rPr>
        <w:t>10</w:t>
      </w:r>
      <w:r w:rsidR="006572FA" w:rsidRPr="005A6A4F">
        <w:rPr>
          <w:rFonts w:ascii="Times New Roman" w:eastAsia="Times New Roman" w:hAnsi="Times New Roman" w:cs="Times New Roman"/>
          <w:b/>
          <w:sz w:val="24"/>
          <w:szCs w:val="24"/>
        </w:rPr>
        <w:t>/202</w:t>
      </w:r>
      <w:r w:rsidR="00283FAF" w:rsidRPr="005A6A4F">
        <w:rPr>
          <w:rFonts w:ascii="Times New Roman" w:eastAsia="Times New Roman" w:hAnsi="Times New Roman" w:cs="Times New Roman"/>
          <w:b/>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p w14:paraId="111DFEC9" w14:textId="77777777" w:rsidR="00290C61" w:rsidRDefault="00290C61" w:rsidP="00C07438">
      <w:pPr>
        <w:spacing w:after="0" w:line="240" w:lineRule="auto"/>
        <w:contextualSpacing/>
        <w:jc w:val="both"/>
        <w:rPr>
          <w:rFonts w:ascii="Times New Roman" w:eastAsia="Palatino Linotype" w:hAnsi="Times New Roman" w:cs="Times New Roman"/>
          <w:b/>
          <w:bCs/>
          <w:i/>
          <w:iCs/>
          <w:sz w:val="24"/>
          <w:szCs w:val="24"/>
        </w:rPr>
      </w:pPr>
      <w:bookmarkStart w:id="2" w:name="_Hlk210909125"/>
      <w:bookmarkEnd w:id="0"/>
      <w:bookmarkEnd w:id="1"/>
    </w:p>
    <w:p w14:paraId="5463828C" w14:textId="77777777" w:rsidR="00B94C79" w:rsidRPr="00B94C79" w:rsidRDefault="00B94C79" w:rsidP="00B94C79">
      <w:pPr>
        <w:spacing w:after="0" w:line="240" w:lineRule="auto"/>
        <w:contextualSpacing/>
        <w:jc w:val="both"/>
        <w:rPr>
          <w:rFonts w:ascii="Times New Roman" w:eastAsia="Palatino Linotype" w:hAnsi="Times New Roman" w:cs="Times New Roman"/>
          <w:b/>
          <w:bCs/>
          <w:i/>
          <w:iCs/>
          <w:sz w:val="24"/>
          <w:szCs w:val="24"/>
        </w:rPr>
      </w:pPr>
      <w:r w:rsidRPr="00B94C79">
        <w:rPr>
          <w:rFonts w:ascii="Times New Roman" w:eastAsia="Palatino Linotype" w:hAnsi="Times New Roman" w:cs="Times New Roman"/>
          <w:b/>
          <w:bCs/>
          <w:i/>
          <w:iCs/>
          <w:sz w:val="24"/>
          <w:szCs w:val="24"/>
        </w:rPr>
        <w:t>HRD attended the launch of the Mobile Court in the State Prison Headquarters in Bor, Jonglei State</w:t>
      </w:r>
    </w:p>
    <w:bookmarkEnd w:id="2"/>
    <w:p w14:paraId="2621257F" w14:textId="77777777" w:rsidR="00904439" w:rsidRDefault="00904439">
      <w:pPr>
        <w:spacing w:after="0" w:line="240" w:lineRule="auto"/>
        <w:jc w:val="both"/>
        <w:rPr>
          <w:rFonts w:asciiTheme="majorBidi" w:hAnsiTheme="majorBidi" w:cstheme="majorBidi"/>
          <w:b/>
          <w:bCs/>
          <w:i/>
          <w:iCs/>
          <w:sz w:val="24"/>
          <w:szCs w:val="24"/>
        </w:rPr>
      </w:pPr>
    </w:p>
    <w:p w14:paraId="4C6004B7" w14:textId="27C4BF09" w:rsidR="0031469A" w:rsidRPr="00693C36" w:rsidRDefault="00000000" w:rsidP="00693C36">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D3FED83" w14:textId="77777777" w:rsidR="004E734F" w:rsidRDefault="004E734F"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E5091B" w14:textId="498A9B1B" w:rsidR="008C69D2" w:rsidRDefault="00000000" w:rsidP="008C69D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3457A9A8" w14:textId="77777777" w:rsidR="00693C36" w:rsidRPr="008C69D2" w:rsidRDefault="00693C36" w:rsidP="008C69D2">
      <w:pPr>
        <w:spacing w:after="0" w:line="240" w:lineRule="auto"/>
        <w:contextualSpacing/>
        <w:jc w:val="both"/>
        <w:rPr>
          <w:rFonts w:ascii="Times New Roman" w:eastAsia="Palatino Linotype" w:hAnsi="Times New Roman" w:cs="Times New Roman"/>
          <w:b/>
          <w:sz w:val="24"/>
          <w:szCs w:val="24"/>
        </w:rPr>
      </w:pPr>
    </w:p>
    <w:p w14:paraId="3E966527"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202D51EE" w14:textId="77777777" w:rsidR="00C07438" w:rsidRDefault="00C07438">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162F75F4" w14:textId="0060E4B7" w:rsidR="00B94C79" w:rsidRDefault="00000000" w:rsidP="00B94C79">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5B086F3B" w14:textId="77777777" w:rsidR="00B94C79" w:rsidRPr="00B94C79" w:rsidRDefault="00B94C79" w:rsidP="00B94C79">
      <w:pPr>
        <w:spacing w:after="0" w:line="240" w:lineRule="auto"/>
        <w:contextualSpacing/>
        <w:jc w:val="both"/>
        <w:rPr>
          <w:rFonts w:ascii="Times New Roman" w:eastAsia="Palatino Linotype" w:hAnsi="Times New Roman" w:cs="Times New Roman"/>
          <w:b/>
          <w:sz w:val="24"/>
          <w:szCs w:val="24"/>
        </w:rPr>
      </w:pPr>
    </w:p>
    <w:p w14:paraId="35CCCC59" w14:textId="3C345081" w:rsidR="00B94C79" w:rsidRDefault="00B94C79" w:rsidP="00B94C79">
      <w:pPr>
        <w:spacing w:after="0" w:line="240" w:lineRule="auto"/>
        <w:jc w:val="both"/>
        <w:rPr>
          <w:rFonts w:asciiTheme="majorBidi" w:hAnsiTheme="majorBidi" w:cstheme="majorBidi"/>
          <w:b/>
          <w:bCs/>
          <w:sz w:val="24"/>
          <w:szCs w:val="24"/>
        </w:rPr>
      </w:pPr>
      <w:r w:rsidRPr="00C07438">
        <w:rPr>
          <w:rFonts w:asciiTheme="majorBidi" w:hAnsiTheme="majorBidi" w:cstheme="majorBidi"/>
          <w:b/>
          <w:bCs/>
          <w:sz w:val="24"/>
          <w:szCs w:val="24"/>
        </w:rPr>
        <w:t xml:space="preserve">HRD </w:t>
      </w:r>
      <w:r>
        <w:rPr>
          <w:rFonts w:asciiTheme="majorBidi" w:hAnsiTheme="majorBidi" w:cstheme="majorBidi"/>
          <w:b/>
          <w:bCs/>
          <w:sz w:val="24"/>
          <w:szCs w:val="24"/>
        </w:rPr>
        <w:t>attended the l</w:t>
      </w:r>
      <w:r w:rsidRPr="00B94C79">
        <w:rPr>
          <w:rFonts w:asciiTheme="majorBidi" w:hAnsiTheme="majorBidi" w:cstheme="majorBidi"/>
          <w:b/>
          <w:bCs/>
          <w:sz w:val="24"/>
          <w:szCs w:val="24"/>
        </w:rPr>
        <w:t xml:space="preserve">aunch of the Mobile Court in </w:t>
      </w:r>
      <w:r>
        <w:rPr>
          <w:rFonts w:asciiTheme="majorBidi" w:hAnsiTheme="majorBidi" w:cstheme="majorBidi"/>
          <w:b/>
          <w:bCs/>
          <w:sz w:val="24"/>
          <w:szCs w:val="24"/>
        </w:rPr>
        <w:t xml:space="preserve">the </w:t>
      </w:r>
      <w:r w:rsidRPr="00B94C79">
        <w:rPr>
          <w:rFonts w:asciiTheme="majorBidi" w:hAnsiTheme="majorBidi" w:cstheme="majorBidi"/>
          <w:b/>
          <w:bCs/>
          <w:sz w:val="24"/>
          <w:szCs w:val="24"/>
        </w:rPr>
        <w:t>State Prison Headquarters in Bor, Jonglei State</w:t>
      </w:r>
    </w:p>
    <w:p w14:paraId="3EB731B1" w14:textId="77777777" w:rsidR="00B94C79" w:rsidRPr="00C07438" w:rsidRDefault="00B94C79" w:rsidP="00B94C79">
      <w:pPr>
        <w:spacing w:after="0" w:line="240" w:lineRule="auto"/>
        <w:jc w:val="both"/>
        <w:rPr>
          <w:rFonts w:asciiTheme="majorBidi" w:eastAsia="Palatino Linotype" w:hAnsiTheme="majorBidi" w:cstheme="majorBidi"/>
          <w:b/>
          <w:bCs/>
          <w:sz w:val="24"/>
          <w:szCs w:val="24"/>
        </w:rPr>
      </w:pPr>
    </w:p>
    <w:p w14:paraId="0CC84518" w14:textId="0138DD16" w:rsidR="00B94C79" w:rsidRDefault="00B94C79" w:rsidP="00B94C79">
      <w:pPr>
        <w:spacing w:after="0" w:line="240" w:lineRule="auto"/>
        <w:contextualSpacing/>
        <w:jc w:val="both"/>
        <w:rPr>
          <w:rFonts w:ascii="Times New Roman" w:eastAsia="Times New Roman" w:hAnsi="Times New Roman" w:cs="Times New Roman"/>
          <w:sz w:val="24"/>
          <w:szCs w:val="24"/>
        </w:rPr>
      </w:pPr>
      <w:r w:rsidRPr="00B94C79">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27 October</w:t>
      </w:r>
      <w:r w:rsidRPr="00B94C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HRD</w:t>
      </w:r>
      <w:r w:rsidRPr="00B94C79">
        <w:rPr>
          <w:rFonts w:ascii="Times New Roman" w:eastAsia="Times New Roman" w:hAnsi="Times New Roman" w:cs="Times New Roman"/>
          <w:sz w:val="24"/>
          <w:szCs w:val="24"/>
        </w:rPr>
        <w:t xml:space="preserve"> attended the official launch of the Mobile Court held at the State Prison Headquarters in Bor, Jonglei State. The initiative, funded by the Kingdom of the Netherlands, aims to enhance access to justice and address the backlog of serious criminal cases in </w:t>
      </w:r>
      <w:r>
        <w:rPr>
          <w:rFonts w:ascii="Times New Roman" w:eastAsia="Times New Roman" w:hAnsi="Times New Roman" w:cs="Times New Roman"/>
          <w:sz w:val="24"/>
          <w:szCs w:val="24"/>
        </w:rPr>
        <w:t>Bor</w:t>
      </w:r>
      <w:r w:rsidRPr="00B94C79">
        <w:rPr>
          <w:rFonts w:ascii="Times New Roman" w:eastAsia="Times New Roman" w:hAnsi="Times New Roman" w:cs="Times New Roman"/>
          <w:sz w:val="24"/>
          <w:szCs w:val="24"/>
        </w:rPr>
        <w:t xml:space="preserve">. The ceremony gathered several high-level authorities, including the Governor of Jonglei State, government ministers, the Director of the State Prison, the Police Commissioner, judges, prosecutors, and members of the legal fraternity. </w:t>
      </w:r>
      <w:r>
        <w:rPr>
          <w:rFonts w:ascii="Times New Roman" w:eastAsia="Times New Roman" w:hAnsi="Times New Roman" w:cs="Times New Roman"/>
          <w:sz w:val="24"/>
          <w:szCs w:val="24"/>
        </w:rPr>
        <w:t>Also, r</w:t>
      </w:r>
      <w:r w:rsidRPr="00B94C79">
        <w:rPr>
          <w:rFonts w:ascii="Times New Roman" w:eastAsia="Times New Roman" w:hAnsi="Times New Roman" w:cs="Times New Roman"/>
          <w:sz w:val="24"/>
          <w:szCs w:val="24"/>
        </w:rPr>
        <w:t xml:space="preserve">epresentatives from UNMISS, including the </w:t>
      </w:r>
      <w:proofErr w:type="spellStart"/>
      <w:r>
        <w:rPr>
          <w:rFonts w:ascii="Times New Roman" w:eastAsia="Times New Roman" w:hAnsi="Times New Roman" w:cs="Times New Roman"/>
          <w:sz w:val="24"/>
          <w:szCs w:val="24"/>
        </w:rPr>
        <w:t>OiC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Hofo</w:t>
      </w:r>
      <w:proofErr w:type="spellEnd"/>
      <w:r w:rsidRPr="00B94C79">
        <w:rPr>
          <w:rFonts w:ascii="Times New Roman" w:eastAsia="Times New Roman" w:hAnsi="Times New Roman" w:cs="Times New Roman"/>
          <w:sz w:val="24"/>
          <w:szCs w:val="24"/>
        </w:rPr>
        <w:t xml:space="preserve"> and other </w:t>
      </w:r>
      <w:r>
        <w:rPr>
          <w:rFonts w:ascii="Times New Roman" w:eastAsia="Times New Roman" w:hAnsi="Times New Roman" w:cs="Times New Roman"/>
          <w:sz w:val="24"/>
          <w:szCs w:val="24"/>
        </w:rPr>
        <w:t>m</w:t>
      </w:r>
      <w:r w:rsidRPr="00B94C79">
        <w:rPr>
          <w:rFonts w:ascii="Times New Roman" w:eastAsia="Times New Roman" w:hAnsi="Times New Roman" w:cs="Times New Roman"/>
          <w:sz w:val="24"/>
          <w:szCs w:val="24"/>
        </w:rPr>
        <w:t xml:space="preserve">ission components, UNDP and OCHA, </w:t>
      </w:r>
      <w:r>
        <w:rPr>
          <w:rFonts w:ascii="Times New Roman" w:eastAsia="Times New Roman" w:hAnsi="Times New Roman" w:cs="Times New Roman"/>
          <w:sz w:val="24"/>
          <w:szCs w:val="24"/>
        </w:rPr>
        <w:t>also attended the event</w:t>
      </w:r>
      <w:r w:rsidRPr="00B94C79">
        <w:rPr>
          <w:rFonts w:ascii="Times New Roman" w:eastAsia="Times New Roman" w:hAnsi="Times New Roman" w:cs="Times New Roman"/>
          <w:sz w:val="24"/>
          <w:szCs w:val="24"/>
        </w:rPr>
        <w:t xml:space="preserve">. It was announced that the Mobile Court will operate for one month, although the exact number of cases to be heard has not yet been defined. The UNDP representative highlighted that over 600 cases remain pending before the Bor judiciary, </w:t>
      </w:r>
      <w:r>
        <w:rPr>
          <w:rFonts w:ascii="Times New Roman" w:eastAsia="Times New Roman" w:hAnsi="Times New Roman" w:cs="Times New Roman"/>
          <w:sz w:val="24"/>
          <w:szCs w:val="24"/>
        </w:rPr>
        <w:t xml:space="preserve">mentioning </w:t>
      </w:r>
      <w:r w:rsidRPr="00B94C79">
        <w:rPr>
          <w:rFonts w:ascii="Times New Roman" w:eastAsia="Times New Roman" w:hAnsi="Times New Roman" w:cs="Times New Roman"/>
          <w:sz w:val="24"/>
          <w:szCs w:val="24"/>
        </w:rPr>
        <w:t>the urgent need for judicial interventions to reduce the backlog.</w:t>
      </w:r>
    </w:p>
    <w:p w14:paraId="345FD1E4" w14:textId="77777777" w:rsidR="00B94C79" w:rsidRPr="00B94C79" w:rsidRDefault="00B94C79" w:rsidP="00B94C79">
      <w:pPr>
        <w:spacing w:after="0" w:line="240" w:lineRule="auto"/>
        <w:contextualSpacing/>
        <w:jc w:val="both"/>
        <w:rPr>
          <w:rFonts w:ascii="Times New Roman" w:eastAsia="Times New Roman" w:hAnsi="Times New Roman" w:cs="Times New Roman"/>
          <w:sz w:val="24"/>
          <w:szCs w:val="24"/>
        </w:rPr>
      </w:pPr>
    </w:p>
    <w:p w14:paraId="7A0F61E9" w14:textId="21655A2D" w:rsidR="00B94C79" w:rsidRPr="00B94C79" w:rsidRDefault="00B94C79" w:rsidP="00B94C79">
      <w:pPr>
        <w:spacing w:after="0" w:line="240" w:lineRule="auto"/>
        <w:contextualSpacing/>
        <w:jc w:val="both"/>
        <w:rPr>
          <w:rFonts w:ascii="Times New Roman" w:eastAsia="Times New Roman" w:hAnsi="Times New Roman" w:cs="Times New Roman"/>
          <w:sz w:val="24"/>
          <w:szCs w:val="24"/>
        </w:rPr>
      </w:pPr>
      <w:r w:rsidRPr="00B94C79">
        <w:rPr>
          <w:rFonts w:ascii="Times New Roman" w:eastAsia="Times New Roman" w:hAnsi="Times New Roman" w:cs="Times New Roman"/>
          <w:sz w:val="24"/>
          <w:szCs w:val="24"/>
        </w:rPr>
        <w:t>Authorities further announced the appointment of four judges, eight lawyers</w:t>
      </w:r>
      <w:r>
        <w:rPr>
          <w:rFonts w:ascii="Times New Roman" w:eastAsia="Times New Roman" w:hAnsi="Times New Roman" w:cs="Times New Roman"/>
          <w:sz w:val="24"/>
          <w:szCs w:val="24"/>
        </w:rPr>
        <w:t xml:space="preserve">, </w:t>
      </w:r>
      <w:r w:rsidRPr="00B94C79">
        <w:rPr>
          <w:rFonts w:ascii="Times New Roman" w:eastAsia="Times New Roman" w:hAnsi="Times New Roman" w:cs="Times New Roman"/>
          <w:sz w:val="24"/>
          <w:szCs w:val="24"/>
        </w:rPr>
        <w:t>including four women</w:t>
      </w:r>
      <w:r>
        <w:rPr>
          <w:rFonts w:ascii="Times New Roman" w:eastAsia="Times New Roman" w:hAnsi="Times New Roman" w:cs="Times New Roman"/>
          <w:sz w:val="24"/>
          <w:szCs w:val="24"/>
        </w:rPr>
        <w:t>,</w:t>
      </w:r>
      <w:r w:rsidRPr="00B94C79">
        <w:rPr>
          <w:rFonts w:ascii="Times New Roman" w:eastAsia="Times New Roman" w:hAnsi="Times New Roman" w:cs="Times New Roman"/>
          <w:sz w:val="24"/>
          <w:szCs w:val="24"/>
        </w:rPr>
        <w:t xml:space="preserve"> and two prosecutors to serve in the Mobile Court. The President of the Court of Appeal for the Upper Nile Circuit emphasized that the initiative represents a crucial </w:t>
      </w:r>
      <w:r w:rsidR="00F172F1">
        <w:rPr>
          <w:rFonts w:ascii="Times New Roman" w:eastAsia="Times New Roman" w:hAnsi="Times New Roman" w:cs="Times New Roman"/>
          <w:sz w:val="24"/>
          <w:szCs w:val="24"/>
        </w:rPr>
        <w:t xml:space="preserve">to </w:t>
      </w:r>
      <w:r w:rsidRPr="00B94C79">
        <w:rPr>
          <w:rFonts w:ascii="Times New Roman" w:eastAsia="Times New Roman" w:hAnsi="Times New Roman" w:cs="Times New Roman"/>
          <w:sz w:val="24"/>
          <w:szCs w:val="24"/>
        </w:rPr>
        <w:t>address unresolved cases</w:t>
      </w:r>
      <w:r w:rsidR="00F172F1">
        <w:rPr>
          <w:rFonts w:ascii="Times New Roman" w:eastAsia="Times New Roman" w:hAnsi="Times New Roman" w:cs="Times New Roman"/>
          <w:sz w:val="24"/>
          <w:szCs w:val="24"/>
        </w:rPr>
        <w:t xml:space="preserve"> </w:t>
      </w:r>
      <w:r w:rsidRPr="00B94C79">
        <w:rPr>
          <w:rFonts w:ascii="Times New Roman" w:eastAsia="Times New Roman" w:hAnsi="Times New Roman" w:cs="Times New Roman"/>
          <w:sz w:val="24"/>
          <w:szCs w:val="24"/>
        </w:rPr>
        <w:t>and strength the rule of law in Bor and the Jonglei region.</w:t>
      </w:r>
      <w:r w:rsidR="008E5570">
        <w:rPr>
          <w:rFonts w:ascii="Times New Roman" w:eastAsia="Times New Roman" w:hAnsi="Times New Roman" w:cs="Times New Roman"/>
          <w:sz w:val="24"/>
          <w:szCs w:val="24"/>
        </w:rPr>
        <w:t xml:space="preserve"> HRD will monitor the work of the Court during its deployment time.</w:t>
      </w:r>
    </w:p>
    <w:p w14:paraId="26048357" w14:textId="77777777" w:rsidR="00B94C79" w:rsidRDefault="00B94C79" w:rsidP="00B94C79">
      <w:pPr>
        <w:spacing w:after="0" w:line="240" w:lineRule="auto"/>
        <w:contextualSpacing/>
        <w:jc w:val="both"/>
        <w:rPr>
          <w:rFonts w:ascii="Times New Roman" w:eastAsia="Palatino Linotype" w:hAnsi="Times New Roman" w:cs="Times New Roman"/>
          <w:b/>
          <w:sz w:val="24"/>
          <w:szCs w:val="24"/>
        </w:rPr>
      </w:pP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15F36F18" w14:textId="77777777" w:rsidR="00C07438" w:rsidRPr="003B4728" w:rsidRDefault="00C07438" w:rsidP="004E3500">
      <w:pPr>
        <w:spacing w:after="0" w:line="240" w:lineRule="auto"/>
        <w:contextualSpacing/>
        <w:jc w:val="both"/>
        <w:rPr>
          <w:rFonts w:ascii="Times New Roman" w:eastAsia="Palatino Linotype" w:hAnsi="Times New Roman" w:cs="Times New Roman"/>
          <w:b/>
          <w:sz w:val="24"/>
          <w:szCs w:val="24"/>
        </w:rPr>
      </w:pPr>
    </w:p>
    <w:p w14:paraId="07C4B0FC" w14:textId="0B5C50B6" w:rsidR="00B722B3" w:rsidRPr="005D289F" w:rsidRDefault="00000000"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5F18" w14:textId="77777777" w:rsidR="00BB5FA8" w:rsidRDefault="00BB5FA8">
      <w:pPr>
        <w:spacing w:line="240" w:lineRule="auto"/>
      </w:pPr>
      <w:r>
        <w:separator/>
      </w:r>
    </w:p>
  </w:endnote>
  <w:endnote w:type="continuationSeparator" w:id="0">
    <w:p w14:paraId="2B61969C" w14:textId="77777777" w:rsidR="00BB5FA8" w:rsidRDefault="00BB5F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258D" w14:textId="77777777" w:rsidR="00BB5FA8" w:rsidRDefault="00BB5FA8">
      <w:pPr>
        <w:spacing w:after="0"/>
      </w:pPr>
      <w:r>
        <w:separator/>
      </w:r>
    </w:p>
  </w:footnote>
  <w:footnote w:type="continuationSeparator" w:id="0">
    <w:p w14:paraId="3A21B28A" w14:textId="77777777" w:rsidR="00BB5FA8" w:rsidRDefault="00BB5FA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5"/>
  </w:num>
  <w:num w:numId="3" w16cid:durableId="1561402489">
    <w:abstractNumId w:val="6"/>
  </w:num>
  <w:num w:numId="4" w16cid:durableId="1966112562">
    <w:abstractNumId w:val="4"/>
  </w:num>
  <w:num w:numId="5" w16cid:durableId="311451427">
    <w:abstractNumId w:val="7"/>
  </w:num>
  <w:num w:numId="6" w16cid:durableId="1095133269">
    <w:abstractNumId w:val="2"/>
  </w:num>
  <w:num w:numId="7" w16cid:durableId="840586861">
    <w:abstractNumId w:val="3"/>
  </w:num>
  <w:num w:numId="8" w16cid:durableId="22625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357"/>
    <w:rsid w:val="00083DFB"/>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4DD"/>
    <w:rsid w:val="00106DBC"/>
    <w:rsid w:val="00111C60"/>
    <w:rsid w:val="00112DD3"/>
    <w:rsid w:val="00122791"/>
    <w:rsid w:val="00124851"/>
    <w:rsid w:val="001249A5"/>
    <w:rsid w:val="001250C9"/>
    <w:rsid w:val="00125E87"/>
    <w:rsid w:val="001260DD"/>
    <w:rsid w:val="00133542"/>
    <w:rsid w:val="00133ADE"/>
    <w:rsid w:val="00141B6B"/>
    <w:rsid w:val="001428D6"/>
    <w:rsid w:val="001460ED"/>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1D52"/>
    <w:rsid w:val="001A502D"/>
    <w:rsid w:val="001A53D3"/>
    <w:rsid w:val="001A588A"/>
    <w:rsid w:val="001A71FE"/>
    <w:rsid w:val="001C1F95"/>
    <w:rsid w:val="001C61A3"/>
    <w:rsid w:val="001C7C4C"/>
    <w:rsid w:val="001D0246"/>
    <w:rsid w:val="001D2CC9"/>
    <w:rsid w:val="001D31CC"/>
    <w:rsid w:val="001D562B"/>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0C61"/>
    <w:rsid w:val="0029221D"/>
    <w:rsid w:val="00294184"/>
    <w:rsid w:val="00297FC2"/>
    <w:rsid w:val="002A174B"/>
    <w:rsid w:val="002A596C"/>
    <w:rsid w:val="002A63E6"/>
    <w:rsid w:val="002B0E0C"/>
    <w:rsid w:val="002B76CF"/>
    <w:rsid w:val="002C2E71"/>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469A"/>
    <w:rsid w:val="00315EA9"/>
    <w:rsid w:val="00316B70"/>
    <w:rsid w:val="00320392"/>
    <w:rsid w:val="00320A11"/>
    <w:rsid w:val="00322B01"/>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72CA9"/>
    <w:rsid w:val="0047493C"/>
    <w:rsid w:val="0047605C"/>
    <w:rsid w:val="004827F3"/>
    <w:rsid w:val="00483AC9"/>
    <w:rsid w:val="004848A3"/>
    <w:rsid w:val="004848C9"/>
    <w:rsid w:val="00484BE2"/>
    <w:rsid w:val="00484FB2"/>
    <w:rsid w:val="00494402"/>
    <w:rsid w:val="00497729"/>
    <w:rsid w:val="004A36DC"/>
    <w:rsid w:val="004A7FC9"/>
    <w:rsid w:val="004B0E42"/>
    <w:rsid w:val="004B2308"/>
    <w:rsid w:val="004B25AA"/>
    <w:rsid w:val="004B4008"/>
    <w:rsid w:val="004B55EA"/>
    <w:rsid w:val="004C03BB"/>
    <w:rsid w:val="004C0402"/>
    <w:rsid w:val="004C560B"/>
    <w:rsid w:val="004C65BB"/>
    <w:rsid w:val="004D1193"/>
    <w:rsid w:val="004D1403"/>
    <w:rsid w:val="004D5C88"/>
    <w:rsid w:val="004E3500"/>
    <w:rsid w:val="004E5E2B"/>
    <w:rsid w:val="004E6417"/>
    <w:rsid w:val="004E734F"/>
    <w:rsid w:val="004F4F17"/>
    <w:rsid w:val="004F5540"/>
    <w:rsid w:val="00501B38"/>
    <w:rsid w:val="00502DEE"/>
    <w:rsid w:val="00504933"/>
    <w:rsid w:val="00511C5D"/>
    <w:rsid w:val="00514C5E"/>
    <w:rsid w:val="00520468"/>
    <w:rsid w:val="005216FF"/>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55DD"/>
    <w:rsid w:val="0057685F"/>
    <w:rsid w:val="00580801"/>
    <w:rsid w:val="00582BB4"/>
    <w:rsid w:val="00586475"/>
    <w:rsid w:val="005864F3"/>
    <w:rsid w:val="00586F84"/>
    <w:rsid w:val="00587C60"/>
    <w:rsid w:val="00590207"/>
    <w:rsid w:val="005907AC"/>
    <w:rsid w:val="00592639"/>
    <w:rsid w:val="00595940"/>
    <w:rsid w:val="005969E6"/>
    <w:rsid w:val="00597754"/>
    <w:rsid w:val="005A1086"/>
    <w:rsid w:val="005A1E6D"/>
    <w:rsid w:val="005A232E"/>
    <w:rsid w:val="005A29CC"/>
    <w:rsid w:val="005A3A40"/>
    <w:rsid w:val="005A3D8E"/>
    <w:rsid w:val="005A6A4F"/>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C50"/>
    <w:rsid w:val="00683F3E"/>
    <w:rsid w:val="00685134"/>
    <w:rsid w:val="00685F65"/>
    <w:rsid w:val="006865B4"/>
    <w:rsid w:val="00691BED"/>
    <w:rsid w:val="00693C36"/>
    <w:rsid w:val="00695A8D"/>
    <w:rsid w:val="0069687C"/>
    <w:rsid w:val="006A0EDC"/>
    <w:rsid w:val="006A382E"/>
    <w:rsid w:val="006A4722"/>
    <w:rsid w:val="006A72EC"/>
    <w:rsid w:val="006B1C0E"/>
    <w:rsid w:val="006B2CF0"/>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11BB"/>
    <w:rsid w:val="00854EDA"/>
    <w:rsid w:val="0085544D"/>
    <w:rsid w:val="00855EA4"/>
    <w:rsid w:val="00856BC3"/>
    <w:rsid w:val="008572F7"/>
    <w:rsid w:val="008600F5"/>
    <w:rsid w:val="00860DAE"/>
    <w:rsid w:val="008614D0"/>
    <w:rsid w:val="00864BDB"/>
    <w:rsid w:val="0086507E"/>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BE5"/>
    <w:rsid w:val="008B2C88"/>
    <w:rsid w:val="008B7F6D"/>
    <w:rsid w:val="008C0FFC"/>
    <w:rsid w:val="008C1705"/>
    <w:rsid w:val="008C1D25"/>
    <w:rsid w:val="008C5446"/>
    <w:rsid w:val="008C69B4"/>
    <w:rsid w:val="008C69D2"/>
    <w:rsid w:val="008C73D6"/>
    <w:rsid w:val="008D09C0"/>
    <w:rsid w:val="008D70D3"/>
    <w:rsid w:val="008E0024"/>
    <w:rsid w:val="008E1F64"/>
    <w:rsid w:val="008E4BDF"/>
    <w:rsid w:val="008E5570"/>
    <w:rsid w:val="008E6597"/>
    <w:rsid w:val="008F2380"/>
    <w:rsid w:val="008F5BC7"/>
    <w:rsid w:val="00904439"/>
    <w:rsid w:val="0090500C"/>
    <w:rsid w:val="00906068"/>
    <w:rsid w:val="009142F5"/>
    <w:rsid w:val="00920DE1"/>
    <w:rsid w:val="009215CA"/>
    <w:rsid w:val="00922077"/>
    <w:rsid w:val="00927104"/>
    <w:rsid w:val="0092770F"/>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BAC"/>
    <w:rsid w:val="00970DDF"/>
    <w:rsid w:val="00971416"/>
    <w:rsid w:val="00971DD3"/>
    <w:rsid w:val="0097225D"/>
    <w:rsid w:val="00972476"/>
    <w:rsid w:val="00972F71"/>
    <w:rsid w:val="00975652"/>
    <w:rsid w:val="009766DB"/>
    <w:rsid w:val="00981D06"/>
    <w:rsid w:val="009839D1"/>
    <w:rsid w:val="00985247"/>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6243"/>
    <w:rsid w:val="00A90799"/>
    <w:rsid w:val="00A90B61"/>
    <w:rsid w:val="00A931CF"/>
    <w:rsid w:val="00A97CAF"/>
    <w:rsid w:val="00AA06BD"/>
    <w:rsid w:val="00AA0E52"/>
    <w:rsid w:val="00AA143E"/>
    <w:rsid w:val="00AA3B62"/>
    <w:rsid w:val="00AA6C86"/>
    <w:rsid w:val="00AC0D77"/>
    <w:rsid w:val="00AC1D57"/>
    <w:rsid w:val="00AC240E"/>
    <w:rsid w:val="00AC4826"/>
    <w:rsid w:val="00AC5E49"/>
    <w:rsid w:val="00AD17D4"/>
    <w:rsid w:val="00AD3F72"/>
    <w:rsid w:val="00AD65FE"/>
    <w:rsid w:val="00AE1349"/>
    <w:rsid w:val="00AE5044"/>
    <w:rsid w:val="00AE6AAE"/>
    <w:rsid w:val="00AE7D58"/>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2225"/>
    <w:rsid w:val="00B65AD5"/>
    <w:rsid w:val="00B66CF4"/>
    <w:rsid w:val="00B722B3"/>
    <w:rsid w:val="00B73A70"/>
    <w:rsid w:val="00B74046"/>
    <w:rsid w:val="00B74A38"/>
    <w:rsid w:val="00B74C1E"/>
    <w:rsid w:val="00B76656"/>
    <w:rsid w:val="00B76898"/>
    <w:rsid w:val="00B80039"/>
    <w:rsid w:val="00B835F1"/>
    <w:rsid w:val="00B875D8"/>
    <w:rsid w:val="00B87CAB"/>
    <w:rsid w:val="00B87EB6"/>
    <w:rsid w:val="00B93E4D"/>
    <w:rsid w:val="00B94C79"/>
    <w:rsid w:val="00BA0562"/>
    <w:rsid w:val="00BA2540"/>
    <w:rsid w:val="00BA7C6A"/>
    <w:rsid w:val="00BB044D"/>
    <w:rsid w:val="00BB40CD"/>
    <w:rsid w:val="00BB542D"/>
    <w:rsid w:val="00BB5FA8"/>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07438"/>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37F8"/>
    <w:rsid w:val="00CF487C"/>
    <w:rsid w:val="00D00385"/>
    <w:rsid w:val="00D02A97"/>
    <w:rsid w:val="00D03033"/>
    <w:rsid w:val="00D0728A"/>
    <w:rsid w:val="00D10B38"/>
    <w:rsid w:val="00D12293"/>
    <w:rsid w:val="00D13E80"/>
    <w:rsid w:val="00D1591F"/>
    <w:rsid w:val="00D15E7F"/>
    <w:rsid w:val="00D17BED"/>
    <w:rsid w:val="00D201FF"/>
    <w:rsid w:val="00D20326"/>
    <w:rsid w:val="00D20E3A"/>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172F1"/>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1799"/>
    <w:rsid w:val="00FA25A2"/>
    <w:rsid w:val="00FA375F"/>
    <w:rsid w:val="00FA4353"/>
    <w:rsid w:val="00FA5331"/>
    <w:rsid w:val="00FA588A"/>
    <w:rsid w:val="00FB6933"/>
    <w:rsid w:val="00FC03B3"/>
    <w:rsid w:val="00FC3322"/>
    <w:rsid w:val="00FC45DB"/>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9C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666639888">
      <w:bodyDiv w:val="1"/>
      <w:marLeft w:val="0"/>
      <w:marRight w:val="0"/>
      <w:marTop w:val="0"/>
      <w:marBottom w:val="0"/>
      <w:divBdr>
        <w:top w:val="none" w:sz="0" w:space="0" w:color="auto"/>
        <w:left w:val="none" w:sz="0" w:space="0" w:color="auto"/>
        <w:bottom w:val="none" w:sz="0" w:space="0" w:color="auto"/>
        <w:right w:val="none" w:sz="0" w:space="0" w:color="auto"/>
      </w:divBdr>
    </w:div>
    <w:div w:id="1086414061">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58237791">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466045358">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 w:id="2064675492">
      <w:bodyDiv w:val="1"/>
      <w:marLeft w:val="0"/>
      <w:marRight w:val="0"/>
      <w:marTop w:val="0"/>
      <w:marBottom w:val="0"/>
      <w:divBdr>
        <w:top w:val="none" w:sz="0" w:space="0" w:color="auto"/>
        <w:left w:val="none" w:sz="0" w:space="0" w:color="auto"/>
        <w:bottom w:val="none" w:sz="0" w:space="0" w:color="auto"/>
        <w:right w:val="none" w:sz="0" w:space="0" w:color="auto"/>
      </w:divBdr>
    </w:div>
    <w:div w:id="209315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4</cp:revision>
  <dcterms:created xsi:type="dcterms:W3CDTF">2025-10-27T15:32:00Z</dcterms:created>
  <dcterms:modified xsi:type="dcterms:W3CDTF">2025-10-27T15:36:00Z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