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BE1D49"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BE1D49">
        <w:rPr>
          <w:rFonts w:asciiTheme="majorBidi" w:eastAsia="Times New Roman" w:hAnsiTheme="majorBidi" w:cstheme="majorBidi"/>
          <w:spacing w:val="-10"/>
          <w:sz w:val="24"/>
          <w:szCs w:val="24"/>
        </w:rPr>
        <w:t xml:space="preserve">UNITED NATIONS   </w:t>
      </w:r>
      <w:r w:rsidRPr="00BE1D49">
        <w:rPr>
          <w:rFonts w:asciiTheme="majorBidi" w:eastAsia="Times New Roman" w:hAnsiTheme="majorBidi" w:cstheme="majorBidi"/>
          <w:spacing w:val="-5"/>
          <w:sz w:val="24"/>
          <w:szCs w:val="24"/>
        </w:rPr>
        <w:t xml:space="preserve"> </w:t>
      </w:r>
      <w:r w:rsidRPr="00BE1D49">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3168941" r:id="rId9"/>
        </w:object>
      </w:r>
      <w:r w:rsidRPr="00BE1D49">
        <w:rPr>
          <w:rFonts w:asciiTheme="majorBidi" w:eastAsia="Times New Roman" w:hAnsiTheme="majorBidi" w:cstheme="majorBidi"/>
          <w:position w:val="-4"/>
          <w:sz w:val="24"/>
          <w:szCs w:val="24"/>
        </w:rPr>
        <w:t xml:space="preserve">      </w:t>
      </w:r>
      <w:r w:rsidRPr="00BE1D49">
        <w:rPr>
          <w:rFonts w:asciiTheme="majorBidi" w:eastAsia="Times New Roman" w:hAnsiTheme="majorBidi" w:cstheme="majorBidi"/>
          <w:spacing w:val="-10"/>
          <w:position w:val="-4"/>
          <w:sz w:val="24"/>
          <w:szCs w:val="24"/>
        </w:rPr>
        <w:t xml:space="preserve"> </w:t>
      </w:r>
      <w:proofErr w:type="spellStart"/>
      <w:r w:rsidRPr="00BE1D49">
        <w:rPr>
          <w:rFonts w:asciiTheme="majorBidi" w:eastAsia="Times New Roman" w:hAnsiTheme="majorBidi" w:cstheme="majorBidi"/>
          <w:position w:val="-4"/>
          <w:sz w:val="24"/>
          <w:szCs w:val="24"/>
          <w:rtl/>
        </w:rPr>
        <w:t>ألأمم</w:t>
      </w:r>
      <w:proofErr w:type="spellEnd"/>
      <w:r w:rsidRPr="00BE1D49">
        <w:rPr>
          <w:rFonts w:asciiTheme="majorBidi" w:eastAsia="Times New Roman" w:hAnsiTheme="majorBidi" w:cstheme="majorBidi"/>
          <w:position w:val="-4"/>
          <w:sz w:val="24"/>
          <w:szCs w:val="24"/>
          <w:rtl/>
        </w:rPr>
        <w:t xml:space="preserve"> المتحدة</w:t>
      </w:r>
    </w:p>
    <w:p w14:paraId="00EFBC62" w14:textId="77777777" w:rsidR="00CC3E4B" w:rsidRPr="00BE1D49" w:rsidRDefault="00CC3E4B" w:rsidP="00EA6CDB">
      <w:pPr>
        <w:spacing w:after="0" w:line="240" w:lineRule="atLeast"/>
        <w:jc w:val="center"/>
        <w:rPr>
          <w:rFonts w:asciiTheme="majorBidi" w:eastAsia="Times New Roman" w:hAnsiTheme="majorBidi" w:cstheme="majorBidi"/>
          <w:sz w:val="24"/>
          <w:szCs w:val="24"/>
        </w:rPr>
      </w:pPr>
      <w:r w:rsidRPr="00BE1D49">
        <w:rPr>
          <w:rFonts w:asciiTheme="majorBidi" w:eastAsia="Times New Roman" w:hAnsiTheme="majorBidi" w:cstheme="majorBidi"/>
          <w:sz w:val="24"/>
          <w:szCs w:val="24"/>
        </w:rPr>
        <w:t>United Nations Mission in South Sudan (UNMISS)</w:t>
      </w:r>
    </w:p>
    <w:p w14:paraId="081AB9B9" w14:textId="77777777" w:rsidR="00CC3E4B" w:rsidRPr="00BE1D49"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BE1D49" w:rsidRDefault="00CC3E4B" w:rsidP="00EA6CDB">
      <w:pPr>
        <w:spacing w:after="0" w:line="240" w:lineRule="atLeast"/>
        <w:jc w:val="center"/>
        <w:rPr>
          <w:rFonts w:asciiTheme="majorBidi" w:eastAsia="Times New Roman" w:hAnsiTheme="majorBidi" w:cstheme="majorBidi"/>
          <w:sz w:val="24"/>
          <w:szCs w:val="24"/>
        </w:rPr>
      </w:pPr>
      <w:r w:rsidRPr="00BE1D49">
        <w:rPr>
          <w:rFonts w:asciiTheme="majorBidi" w:eastAsia="Times New Roman" w:hAnsiTheme="majorBidi" w:cstheme="majorBidi"/>
          <w:sz w:val="24"/>
          <w:szCs w:val="24"/>
        </w:rPr>
        <w:t>Human Rights Division (HRD)</w:t>
      </w:r>
    </w:p>
    <w:p w14:paraId="15048F8E" w14:textId="77777777" w:rsidR="00CC3E4B" w:rsidRPr="00BE1D49"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BE1D49" w:rsidRDefault="00CC3E4B" w:rsidP="00EA6CDB">
      <w:pPr>
        <w:spacing w:after="0" w:line="240" w:lineRule="atLeast"/>
        <w:jc w:val="center"/>
        <w:rPr>
          <w:rFonts w:asciiTheme="majorBidi" w:eastAsia="Calibri" w:hAnsiTheme="majorBidi" w:cstheme="majorBidi"/>
          <w:sz w:val="24"/>
          <w:szCs w:val="24"/>
        </w:rPr>
      </w:pPr>
      <w:r w:rsidRPr="00BE1D49">
        <w:rPr>
          <w:rFonts w:asciiTheme="majorBidi" w:eastAsia="Calibri" w:hAnsiTheme="majorBidi" w:cstheme="majorBidi"/>
          <w:sz w:val="24"/>
          <w:szCs w:val="24"/>
        </w:rPr>
        <w:t>Bentiu Field Office Daily Report</w:t>
      </w:r>
    </w:p>
    <w:p w14:paraId="137E3EA5" w14:textId="77777777" w:rsidR="00CC3E4B" w:rsidRPr="00BE1D49" w:rsidRDefault="00CC3E4B" w:rsidP="00EA6CDB">
      <w:pPr>
        <w:spacing w:after="0" w:line="240" w:lineRule="atLeast"/>
        <w:jc w:val="center"/>
        <w:rPr>
          <w:rFonts w:asciiTheme="majorBidi" w:eastAsia="Calibri" w:hAnsiTheme="majorBidi" w:cstheme="majorBidi"/>
          <w:sz w:val="24"/>
          <w:szCs w:val="24"/>
        </w:rPr>
      </w:pPr>
    </w:p>
    <w:p w14:paraId="6D35EE78" w14:textId="1317F3AA" w:rsidR="00CC3E4B" w:rsidRPr="00BE1D49" w:rsidRDefault="00766668" w:rsidP="00EA6CDB">
      <w:pPr>
        <w:spacing w:after="0" w:line="240" w:lineRule="atLeast"/>
        <w:jc w:val="center"/>
        <w:rPr>
          <w:rFonts w:asciiTheme="majorBidi" w:eastAsia="Calibri" w:hAnsiTheme="majorBidi" w:cstheme="majorBidi"/>
          <w:sz w:val="24"/>
          <w:szCs w:val="24"/>
        </w:rPr>
      </w:pPr>
      <w:r w:rsidRPr="00BE1D49">
        <w:rPr>
          <w:rFonts w:asciiTheme="majorBidi" w:eastAsia="Calibri" w:hAnsiTheme="majorBidi" w:cstheme="majorBidi"/>
          <w:sz w:val="24"/>
          <w:szCs w:val="24"/>
        </w:rPr>
        <w:t>2</w:t>
      </w:r>
      <w:r w:rsidR="00006090">
        <w:rPr>
          <w:rFonts w:asciiTheme="majorBidi" w:eastAsia="Calibri" w:hAnsiTheme="majorBidi" w:cstheme="majorBidi"/>
          <w:sz w:val="24"/>
          <w:szCs w:val="24"/>
        </w:rPr>
        <w:t>8</w:t>
      </w:r>
      <w:r w:rsidR="0057184B" w:rsidRPr="00BE1D49">
        <w:rPr>
          <w:rFonts w:asciiTheme="majorBidi" w:eastAsia="Calibri" w:hAnsiTheme="majorBidi" w:cstheme="majorBidi"/>
          <w:sz w:val="24"/>
          <w:szCs w:val="24"/>
        </w:rPr>
        <w:t xml:space="preserve"> October</w:t>
      </w:r>
      <w:r w:rsidR="00D16E7A" w:rsidRPr="00BE1D49">
        <w:rPr>
          <w:rFonts w:asciiTheme="majorBidi" w:eastAsia="Calibri" w:hAnsiTheme="majorBidi" w:cstheme="majorBidi"/>
          <w:sz w:val="24"/>
          <w:szCs w:val="24"/>
        </w:rPr>
        <w:t xml:space="preserve"> 2025</w:t>
      </w:r>
    </w:p>
    <w:p w14:paraId="490A6A14" w14:textId="77777777" w:rsidR="00CC3E4B" w:rsidRPr="00BE1D49"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BE1D49" w:rsidRDefault="00CC3E4B" w:rsidP="00EA6CDB">
      <w:pPr>
        <w:spacing w:after="0" w:line="240" w:lineRule="atLeast"/>
        <w:jc w:val="both"/>
        <w:rPr>
          <w:rFonts w:asciiTheme="majorBidi" w:eastAsia="Aptos" w:hAnsiTheme="majorBidi" w:cstheme="majorBidi"/>
          <w:sz w:val="24"/>
          <w:szCs w:val="24"/>
          <w14:ligatures w14:val="standardContextual"/>
        </w:rPr>
      </w:pPr>
      <w:r w:rsidRPr="00BE1D49">
        <w:rPr>
          <w:rFonts w:asciiTheme="majorBidi" w:eastAsia="Palatino Linotype" w:hAnsiTheme="majorBidi" w:cstheme="majorBidi"/>
          <w:sz w:val="24"/>
          <w:szCs w:val="24"/>
        </w:rPr>
        <w:t>Highlights</w:t>
      </w:r>
      <w:bookmarkStart w:id="1" w:name="_Hlk172814707"/>
      <w:r w:rsidRPr="00BE1D49">
        <w:rPr>
          <w:rFonts w:asciiTheme="majorBidi" w:eastAsia="Aptos" w:hAnsiTheme="majorBidi" w:cstheme="majorBidi"/>
          <w:sz w:val="24"/>
          <w:szCs w:val="24"/>
          <w14:ligatures w14:val="standardContextual"/>
        </w:rPr>
        <w:t xml:space="preserve"> </w:t>
      </w:r>
    </w:p>
    <w:p w14:paraId="7296F8CD" w14:textId="3D86EE0D" w:rsidR="002C49AB" w:rsidRPr="00BE1D49" w:rsidRDefault="00C21688" w:rsidP="00EA6CDB">
      <w:pPr>
        <w:spacing w:after="0" w:line="240" w:lineRule="atLeast"/>
        <w:jc w:val="both"/>
        <w:rPr>
          <w:rFonts w:asciiTheme="majorBidi" w:eastAsia="Aptos" w:hAnsiTheme="majorBidi" w:cstheme="majorBidi"/>
          <w:sz w:val="24"/>
          <w:szCs w:val="24"/>
          <w14:ligatures w14:val="standardContextual"/>
        </w:rPr>
      </w:pPr>
      <w:r w:rsidRPr="00BE1D49">
        <w:rPr>
          <w:rFonts w:asciiTheme="majorBidi" w:eastAsia="Aptos" w:hAnsiTheme="majorBidi" w:cstheme="majorBidi"/>
          <w:sz w:val="24"/>
          <w:szCs w:val="24"/>
          <w14:ligatures w14:val="standardContextual"/>
        </w:rPr>
        <w:t xml:space="preserve"> </w:t>
      </w:r>
    </w:p>
    <w:p w14:paraId="251E77D1" w14:textId="77777777" w:rsidR="008626B2" w:rsidRPr="008626B2" w:rsidRDefault="008626B2" w:rsidP="008626B2">
      <w:pPr>
        <w:pStyle w:val="ListParagraph"/>
        <w:numPr>
          <w:ilvl w:val="0"/>
          <w:numId w:val="18"/>
        </w:numPr>
        <w:spacing w:after="160" w:line="259" w:lineRule="auto"/>
        <w:jc w:val="both"/>
        <w:rPr>
          <w:rFonts w:asciiTheme="majorBidi" w:hAnsiTheme="majorBidi" w:cstheme="majorBidi"/>
          <w:i/>
          <w:iCs/>
          <w:sz w:val="24"/>
          <w:szCs w:val="24"/>
        </w:rPr>
      </w:pPr>
      <w:bookmarkStart w:id="2" w:name="_Hlk198224089"/>
      <w:bookmarkEnd w:id="1"/>
      <w:r w:rsidRPr="008626B2">
        <w:rPr>
          <w:rFonts w:asciiTheme="majorBidi" w:hAnsiTheme="majorBidi" w:cstheme="majorBidi"/>
          <w:i/>
          <w:iCs/>
          <w:sz w:val="24"/>
          <w:szCs w:val="24"/>
        </w:rPr>
        <w:t xml:space="preserve">Armed elements from Unity State shot and killed two Nuer civilians in Touch County, Ruweng Administrative Area </w:t>
      </w:r>
    </w:p>
    <w:p w14:paraId="77D385E0" w14:textId="77777777" w:rsidR="008626B2" w:rsidRPr="008626B2" w:rsidRDefault="008626B2" w:rsidP="008626B2">
      <w:pPr>
        <w:pStyle w:val="ListParagraph"/>
        <w:spacing w:after="160" w:line="259" w:lineRule="auto"/>
        <w:jc w:val="both"/>
        <w:rPr>
          <w:rFonts w:asciiTheme="majorBidi" w:hAnsiTheme="majorBidi" w:cstheme="majorBidi"/>
          <w:b/>
          <w:bCs/>
          <w:sz w:val="24"/>
          <w:szCs w:val="24"/>
        </w:rPr>
      </w:pPr>
    </w:p>
    <w:p w14:paraId="321BB6AD" w14:textId="4E34C3F2" w:rsidR="00C777CF" w:rsidRPr="00BE1D49" w:rsidRDefault="00CC3E4B" w:rsidP="0036298A">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BE1D49">
        <w:rPr>
          <w:rFonts w:asciiTheme="majorBidi" w:eastAsia="Calibri" w:hAnsiTheme="majorBidi" w:cstheme="majorBidi"/>
          <w:sz w:val="24"/>
          <w:szCs w:val="24"/>
        </w:rPr>
        <w:t>Political and Security Update</w:t>
      </w:r>
    </w:p>
    <w:p w14:paraId="60B2A229" w14:textId="7110492E" w:rsidR="00283E27" w:rsidRPr="00BE1D49"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Human Rights in the Electoral Process</w:t>
      </w:r>
      <w:r w:rsidR="00062BAB" w:rsidRPr="00BE1D49">
        <w:rPr>
          <w:rFonts w:asciiTheme="majorBidi" w:eastAsia="Palatino Linotype" w:hAnsiTheme="majorBidi" w:cstheme="majorBidi"/>
          <w:sz w:val="24"/>
          <w:szCs w:val="24"/>
        </w:rPr>
        <w:t>.</w:t>
      </w:r>
    </w:p>
    <w:p w14:paraId="64B01165" w14:textId="34D71A9B" w:rsidR="00062BAB" w:rsidRPr="00BE1D49" w:rsidRDefault="00D45CD8" w:rsidP="00693864">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C</w:t>
      </w:r>
      <w:r w:rsidR="00CC3E4B" w:rsidRPr="00BE1D49">
        <w:rPr>
          <w:rFonts w:asciiTheme="majorBidi" w:eastAsia="Palatino Linotype" w:hAnsiTheme="majorBidi" w:cstheme="majorBidi"/>
          <w:sz w:val="24"/>
          <w:szCs w:val="24"/>
        </w:rPr>
        <w:t>onflict-Related Violations/Abuses</w:t>
      </w:r>
    </w:p>
    <w:p w14:paraId="5732D2F6" w14:textId="77777777" w:rsidR="00BE1D49" w:rsidRPr="00BE1D49" w:rsidRDefault="00BE1D49" w:rsidP="00BE1D49">
      <w:pPr>
        <w:spacing w:after="0" w:line="240" w:lineRule="atLeast"/>
        <w:jc w:val="both"/>
        <w:rPr>
          <w:rFonts w:asciiTheme="majorBidi" w:eastAsia="Palatino Linotype" w:hAnsiTheme="majorBidi" w:cstheme="majorBidi"/>
          <w:sz w:val="24"/>
          <w:szCs w:val="24"/>
        </w:rPr>
      </w:pPr>
    </w:p>
    <w:p w14:paraId="52D87A4A" w14:textId="7133A7BE" w:rsidR="00006090" w:rsidRPr="008626B2" w:rsidRDefault="008626B2" w:rsidP="008626B2">
      <w:pPr>
        <w:pStyle w:val="ListParagraph"/>
        <w:numPr>
          <w:ilvl w:val="0"/>
          <w:numId w:val="19"/>
        </w:numPr>
        <w:spacing w:after="160" w:line="259" w:lineRule="auto"/>
        <w:jc w:val="both"/>
        <w:rPr>
          <w:rFonts w:asciiTheme="majorBidi" w:hAnsiTheme="majorBidi" w:cstheme="majorBidi"/>
          <w:b/>
          <w:bCs/>
          <w:sz w:val="24"/>
          <w:szCs w:val="24"/>
        </w:rPr>
      </w:pPr>
      <w:r w:rsidRPr="008626B2">
        <w:rPr>
          <w:rFonts w:asciiTheme="majorBidi" w:hAnsiTheme="majorBidi" w:cstheme="majorBidi"/>
          <w:b/>
          <w:bCs/>
          <w:sz w:val="24"/>
          <w:szCs w:val="24"/>
        </w:rPr>
        <w:t xml:space="preserve">Armed elements from Unity State shot and killed two Nuer civilians in Touch County, Ruweng Administrative Area </w:t>
      </w:r>
    </w:p>
    <w:p w14:paraId="3C83818A" w14:textId="65973891" w:rsidR="00006090" w:rsidRPr="00006090" w:rsidRDefault="00006090" w:rsidP="00006090">
      <w:pPr>
        <w:spacing w:after="160" w:line="259" w:lineRule="auto"/>
        <w:jc w:val="both"/>
        <w:rPr>
          <w:rFonts w:asciiTheme="majorBidi" w:hAnsiTheme="majorBidi" w:cstheme="majorBidi"/>
          <w:sz w:val="24"/>
          <w:szCs w:val="24"/>
        </w:rPr>
      </w:pPr>
      <w:r w:rsidRPr="00006090">
        <w:rPr>
          <w:rFonts w:asciiTheme="majorBidi" w:hAnsiTheme="majorBidi" w:cstheme="majorBidi"/>
          <w:sz w:val="24"/>
          <w:szCs w:val="24"/>
        </w:rPr>
        <w:t xml:space="preserve">On 28 October 2025, two secondary sources in </w:t>
      </w:r>
      <w:r>
        <w:rPr>
          <w:rFonts w:asciiTheme="majorBidi" w:hAnsiTheme="majorBidi" w:cstheme="majorBidi"/>
          <w:sz w:val="24"/>
          <w:szCs w:val="24"/>
        </w:rPr>
        <w:t>Ruweng Administrative Area (RAA) (</w:t>
      </w:r>
      <w:r w:rsidRPr="00006090">
        <w:rPr>
          <w:rFonts w:asciiTheme="majorBidi" w:hAnsiTheme="majorBidi" w:cstheme="majorBidi"/>
          <w:i/>
          <w:iCs/>
          <w:sz w:val="24"/>
          <w:szCs w:val="24"/>
        </w:rPr>
        <w:t xml:space="preserve">including </w:t>
      </w:r>
      <w:r w:rsidRPr="00006090">
        <w:rPr>
          <w:rFonts w:asciiTheme="majorBidi" w:hAnsiTheme="majorBidi" w:cstheme="majorBidi"/>
          <w:i/>
          <w:iCs/>
          <w:sz w:val="24"/>
          <w:szCs w:val="24"/>
        </w:rPr>
        <w:t xml:space="preserve">the </w:t>
      </w:r>
      <w:r w:rsidR="008626B2" w:rsidRPr="00006090">
        <w:rPr>
          <w:rFonts w:asciiTheme="majorBidi" w:hAnsiTheme="majorBidi" w:cstheme="majorBidi"/>
          <w:i/>
          <w:iCs/>
          <w:sz w:val="24"/>
          <w:szCs w:val="24"/>
        </w:rPr>
        <w:t>Touch County</w:t>
      </w:r>
      <w:r w:rsidRPr="00006090">
        <w:rPr>
          <w:rFonts w:asciiTheme="majorBidi" w:hAnsiTheme="majorBidi" w:cstheme="majorBidi"/>
          <w:i/>
          <w:iCs/>
          <w:sz w:val="24"/>
          <w:szCs w:val="24"/>
        </w:rPr>
        <w:t xml:space="preserve"> commissioner</w:t>
      </w:r>
      <w:r>
        <w:rPr>
          <w:rFonts w:asciiTheme="majorBidi" w:hAnsiTheme="majorBidi" w:cstheme="majorBidi"/>
          <w:sz w:val="24"/>
          <w:szCs w:val="24"/>
        </w:rPr>
        <w:t>)</w:t>
      </w:r>
      <w:r w:rsidRPr="00006090">
        <w:rPr>
          <w:rFonts w:asciiTheme="majorBidi" w:hAnsiTheme="majorBidi" w:cstheme="majorBidi"/>
          <w:sz w:val="24"/>
          <w:szCs w:val="24"/>
        </w:rPr>
        <w:t xml:space="preserve"> </w:t>
      </w:r>
      <w:r>
        <w:rPr>
          <w:rFonts w:asciiTheme="majorBidi" w:hAnsiTheme="majorBidi" w:cstheme="majorBidi"/>
          <w:sz w:val="24"/>
          <w:szCs w:val="24"/>
        </w:rPr>
        <w:t>informed HRD that on</w:t>
      </w:r>
      <w:r w:rsidRPr="00006090">
        <w:rPr>
          <w:rFonts w:asciiTheme="majorBidi" w:hAnsiTheme="majorBidi" w:cstheme="majorBidi"/>
          <w:sz w:val="24"/>
          <w:szCs w:val="24"/>
        </w:rPr>
        <w:t xml:space="preserve"> 25 October 2025 at approximately 12:30</w:t>
      </w:r>
      <w:r>
        <w:rPr>
          <w:rFonts w:asciiTheme="majorBidi" w:hAnsiTheme="majorBidi" w:cstheme="majorBidi"/>
          <w:sz w:val="24"/>
          <w:szCs w:val="24"/>
        </w:rPr>
        <w:t xml:space="preserve"> pm</w:t>
      </w:r>
      <w:r w:rsidRPr="00006090">
        <w:rPr>
          <w:rFonts w:asciiTheme="majorBidi" w:hAnsiTheme="majorBidi" w:cstheme="majorBidi"/>
          <w:sz w:val="24"/>
          <w:szCs w:val="24"/>
        </w:rPr>
        <w:t xml:space="preserve">, </w:t>
      </w:r>
      <w:r>
        <w:rPr>
          <w:rFonts w:asciiTheme="majorBidi" w:hAnsiTheme="majorBidi" w:cstheme="majorBidi"/>
          <w:sz w:val="24"/>
          <w:szCs w:val="24"/>
        </w:rPr>
        <w:t xml:space="preserve">an </w:t>
      </w:r>
      <w:r w:rsidRPr="00006090">
        <w:rPr>
          <w:rFonts w:asciiTheme="majorBidi" w:hAnsiTheme="majorBidi" w:cstheme="majorBidi"/>
          <w:sz w:val="24"/>
          <w:szCs w:val="24"/>
        </w:rPr>
        <w:t xml:space="preserve">unspecified number of </w:t>
      </w:r>
      <w:r w:rsidR="00ED2B12">
        <w:rPr>
          <w:rFonts w:asciiTheme="majorBidi" w:hAnsiTheme="majorBidi" w:cstheme="majorBidi"/>
          <w:sz w:val="24"/>
          <w:szCs w:val="24"/>
        </w:rPr>
        <w:t xml:space="preserve">unidentified </w:t>
      </w:r>
      <w:r w:rsidRPr="00006090">
        <w:rPr>
          <w:rFonts w:asciiTheme="majorBidi" w:hAnsiTheme="majorBidi" w:cstheme="majorBidi"/>
          <w:sz w:val="24"/>
          <w:szCs w:val="24"/>
        </w:rPr>
        <w:t xml:space="preserve">armed </w:t>
      </w:r>
      <w:r>
        <w:rPr>
          <w:rFonts w:asciiTheme="majorBidi" w:hAnsiTheme="majorBidi" w:cstheme="majorBidi"/>
          <w:sz w:val="24"/>
          <w:szCs w:val="24"/>
        </w:rPr>
        <w:t>elements from Unity State, armed</w:t>
      </w:r>
      <w:r w:rsidRPr="00006090">
        <w:rPr>
          <w:rFonts w:asciiTheme="majorBidi" w:hAnsiTheme="majorBidi" w:cstheme="majorBidi"/>
          <w:sz w:val="24"/>
          <w:szCs w:val="24"/>
        </w:rPr>
        <w:t xml:space="preserve"> with AK-47 </w:t>
      </w:r>
      <w:r>
        <w:rPr>
          <w:rFonts w:asciiTheme="majorBidi" w:hAnsiTheme="majorBidi" w:cstheme="majorBidi"/>
          <w:sz w:val="24"/>
          <w:szCs w:val="24"/>
        </w:rPr>
        <w:t xml:space="preserve">type rifles, shot </w:t>
      </w:r>
      <w:r w:rsidRPr="00006090">
        <w:rPr>
          <w:rFonts w:asciiTheme="majorBidi" w:hAnsiTheme="majorBidi" w:cstheme="majorBidi"/>
          <w:sz w:val="24"/>
          <w:szCs w:val="24"/>
        </w:rPr>
        <w:t xml:space="preserve">and killed two </w:t>
      </w:r>
      <w:r w:rsidR="00740A44">
        <w:rPr>
          <w:rFonts w:asciiTheme="majorBidi" w:hAnsiTheme="majorBidi" w:cstheme="majorBidi"/>
          <w:sz w:val="24"/>
          <w:szCs w:val="24"/>
        </w:rPr>
        <w:t xml:space="preserve">adult male </w:t>
      </w:r>
      <w:r>
        <w:rPr>
          <w:rFonts w:asciiTheme="majorBidi" w:hAnsiTheme="majorBidi" w:cstheme="majorBidi"/>
          <w:sz w:val="24"/>
          <w:szCs w:val="24"/>
        </w:rPr>
        <w:t>Nuer civilians</w:t>
      </w:r>
      <w:r w:rsidR="003002F9">
        <w:rPr>
          <w:rFonts w:asciiTheme="majorBidi" w:hAnsiTheme="majorBidi" w:cstheme="majorBidi"/>
          <w:sz w:val="24"/>
          <w:szCs w:val="24"/>
        </w:rPr>
        <w:t xml:space="preserve"> (</w:t>
      </w:r>
      <w:r w:rsidR="003002F9" w:rsidRPr="003002F9">
        <w:rPr>
          <w:rFonts w:asciiTheme="majorBidi" w:hAnsiTheme="majorBidi" w:cstheme="majorBidi"/>
          <w:i/>
          <w:iCs/>
          <w:sz w:val="24"/>
          <w:szCs w:val="24"/>
        </w:rPr>
        <w:t>exact identity not provided</w:t>
      </w:r>
      <w:r w:rsidR="003002F9">
        <w:rPr>
          <w:rFonts w:asciiTheme="majorBidi" w:hAnsiTheme="majorBidi" w:cstheme="majorBidi"/>
          <w:sz w:val="24"/>
          <w:szCs w:val="24"/>
        </w:rPr>
        <w:t>)</w:t>
      </w:r>
      <w:r>
        <w:rPr>
          <w:rFonts w:asciiTheme="majorBidi" w:hAnsiTheme="majorBidi" w:cstheme="majorBidi"/>
          <w:sz w:val="24"/>
          <w:szCs w:val="24"/>
        </w:rPr>
        <w:t xml:space="preserve"> </w:t>
      </w:r>
      <w:r w:rsidRPr="00006090">
        <w:rPr>
          <w:rFonts w:asciiTheme="majorBidi" w:hAnsiTheme="majorBidi" w:cstheme="majorBidi"/>
          <w:sz w:val="24"/>
          <w:szCs w:val="24"/>
        </w:rPr>
        <w:t xml:space="preserve">in </w:t>
      </w:r>
      <w:proofErr w:type="spellStart"/>
      <w:r w:rsidRPr="00006090">
        <w:rPr>
          <w:rFonts w:asciiTheme="majorBidi" w:hAnsiTheme="majorBidi" w:cstheme="majorBidi"/>
          <w:sz w:val="24"/>
          <w:szCs w:val="24"/>
        </w:rPr>
        <w:t>Thongura</w:t>
      </w:r>
      <w:proofErr w:type="spellEnd"/>
      <w:r w:rsidRPr="00006090">
        <w:rPr>
          <w:rFonts w:asciiTheme="majorBidi" w:hAnsiTheme="majorBidi" w:cstheme="majorBidi"/>
          <w:sz w:val="24"/>
          <w:szCs w:val="24"/>
        </w:rPr>
        <w:t xml:space="preserve"> village</w:t>
      </w:r>
      <w:r w:rsidR="008626B2">
        <w:rPr>
          <w:rFonts w:asciiTheme="majorBidi" w:hAnsiTheme="majorBidi" w:cstheme="majorBidi"/>
          <w:sz w:val="24"/>
          <w:szCs w:val="24"/>
        </w:rPr>
        <w:t xml:space="preserve">, </w:t>
      </w:r>
      <w:proofErr w:type="spellStart"/>
      <w:r w:rsidR="008626B2">
        <w:rPr>
          <w:rFonts w:asciiTheme="majorBidi" w:hAnsiTheme="majorBidi" w:cstheme="majorBidi"/>
          <w:sz w:val="24"/>
          <w:szCs w:val="24"/>
        </w:rPr>
        <w:t>Nyiel</w:t>
      </w:r>
      <w:proofErr w:type="spellEnd"/>
      <w:r w:rsidR="008626B2">
        <w:rPr>
          <w:rFonts w:asciiTheme="majorBidi" w:hAnsiTheme="majorBidi" w:cstheme="majorBidi"/>
          <w:sz w:val="24"/>
          <w:szCs w:val="24"/>
        </w:rPr>
        <w:t xml:space="preserve"> </w:t>
      </w:r>
      <w:proofErr w:type="spellStart"/>
      <w:r w:rsidR="008626B2">
        <w:rPr>
          <w:rFonts w:asciiTheme="majorBidi" w:hAnsiTheme="majorBidi" w:cstheme="majorBidi"/>
          <w:sz w:val="24"/>
          <w:szCs w:val="24"/>
        </w:rPr>
        <w:t>Payam,</w:t>
      </w:r>
      <w:r w:rsidRPr="00006090">
        <w:rPr>
          <w:rFonts w:asciiTheme="majorBidi" w:hAnsiTheme="majorBidi" w:cstheme="majorBidi"/>
          <w:sz w:val="24"/>
          <w:szCs w:val="24"/>
        </w:rPr>
        <w:t>Touch</w:t>
      </w:r>
      <w:proofErr w:type="spellEnd"/>
      <w:r w:rsidRPr="00006090">
        <w:rPr>
          <w:rFonts w:asciiTheme="majorBidi" w:hAnsiTheme="majorBidi" w:cstheme="majorBidi"/>
          <w:sz w:val="24"/>
          <w:szCs w:val="24"/>
        </w:rPr>
        <w:t xml:space="preserve"> County</w:t>
      </w:r>
      <w:r>
        <w:rPr>
          <w:rFonts w:asciiTheme="majorBidi" w:hAnsiTheme="majorBidi" w:cstheme="majorBidi"/>
          <w:sz w:val="24"/>
          <w:szCs w:val="24"/>
        </w:rPr>
        <w:t xml:space="preserve">, </w:t>
      </w:r>
      <w:r w:rsidRPr="00006090">
        <w:rPr>
          <w:rFonts w:asciiTheme="majorBidi" w:hAnsiTheme="majorBidi" w:cstheme="majorBidi"/>
          <w:sz w:val="24"/>
          <w:szCs w:val="24"/>
        </w:rPr>
        <w:t>RAA</w:t>
      </w:r>
      <w:r>
        <w:rPr>
          <w:rFonts w:asciiTheme="majorBidi" w:hAnsiTheme="majorBidi" w:cstheme="majorBidi"/>
          <w:sz w:val="24"/>
          <w:szCs w:val="24"/>
        </w:rPr>
        <w:t>. The assailants reportedly stole fish from the victims after killing them. The sources informed that the exact motives for the killing are unknown. One source opined that the two were probably mistaken for community members from RAA and this incident could be a retaliatory attack for past killings in the context of a cycle of revenge attacks and killings. This is especially the case with the killing of two civilians earlier on the same day in Guit County by armed elements believed to have come from RAA (</w:t>
      </w:r>
      <w:r w:rsidRPr="00006090">
        <w:rPr>
          <w:rFonts w:asciiTheme="majorBidi" w:hAnsiTheme="majorBidi" w:cstheme="majorBidi"/>
          <w:i/>
          <w:iCs/>
          <w:sz w:val="24"/>
          <w:szCs w:val="24"/>
        </w:rPr>
        <w:t>see HRD Bentiu FO DSR for 27 October 2025</w:t>
      </w:r>
      <w:r>
        <w:rPr>
          <w:rFonts w:asciiTheme="majorBidi" w:hAnsiTheme="majorBidi" w:cstheme="majorBidi"/>
          <w:sz w:val="24"/>
          <w:szCs w:val="24"/>
        </w:rPr>
        <w:t>)</w:t>
      </w:r>
      <w:r w:rsidRPr="00006090">
        <w:rPr>
          <w:rFonts w:asciiTheme="majorBidi" w:hAnsiTheme="majorBidi" w:cstheme="majorBidi"/>
          <w:sz w:val="24"/>
          <w:szCs w:val="24"/>
        </w:rPr>
        <w:t xml:space="preserve"> </w:t>
      </w:r>
      <w:r>
        <w:rPr>
          <w:rFonts w:asciiTheme="majorBidi" w:hAnsiTheme="majorBidi" w:cstheme="majorBidi"/>
          <w:sz w:val="24"/>
          <w:szCs w:val="24"/>
        </w:rPr>
        <w:t xml:space="preserve">reportedly, government security forces were dispatched to the area of the incident in </w:t>
      </w:r>
      <w:proofErr w:type="spellStart"/>
      <w:r>
        <w:rPr>
          <w:rFonts w:asciiTheme="majorBidi" w:hAnsiTheme="majorBidi" w:cstheme="majorBidi"/>
          <w:sz w:val="24"/>
          <w:szCs w:val="24"/>
        </w:rPr>
        <w:t>Thongura</w:t>
      </w:r>
      <w:proofErr w:type="spellEnd"/>
      <w:r>
        <w:rPr>
          <w:rFonts w:asciiTheme="majorBidi" w:hAnsiTheme="majorBidi" w:cstheme="majorBidi"/>
          <w:sz w:val="24"/>
          <w:szCs w:val="24"/>
        </w:rPr>
        <w:t xml:space="preserve"> village but arrived when the assailants had fled back to Unity State. The sources</w:t>
      </w:r>
      <w:r w:rsidR="008626B2">
        <w:rPr>
          <w:rFonts w:asciiTheme="majorBidi" w:hAnsiTheme="majorBidi" w:cstheme="majorBidi"/>
          <w:sz w:val="24"/>
          <w:szCs w:val="24"/>
        </w:rPr>
        <w:t xml:space="preserve"> informed that no suspect had been arrested in connection with the incident but police were conducting investigations.</w:t>
      </w:r>
    </w:p>
    <w:p w14:paraId="6E548D75" w14:textId="549AD74B" w:rsidR="00BE1D49" w:rsidRPr="008626B2" w:rsidRDefault="00BE1D49" w:rsidP="008626B2">
      <w:pPr>
        <w:spacing w:after="160" w:line="259" w:lineRule="auto"/>
        <w:jc w:val="both"/>
        <w:rPr>
          <w:rFonts w:asciiTheme="majorBidi" w:hAnsiTheme="majorBidi" w:cstheme="majorBidi"/>
          <w:i/>
          <w:iCs/>
          <w:sz w:val="24"/>
          <w:szCs w:val="24"/>
        </w:rPr>
      </w:pPr>
      <w:r w:rsidRPr="008626B2">
        <w:rPr>
          <w:rFonts w:asciiTheme="majorBidi" w:hAnsiTheme="majorBidi" w:cstheme="majorBidi"/>
          <w:b/>
          <w:bCs/>
          <w:sz w:val="24"/>
          <w:szCs w:val="24"/>
        </w:rPr>
        <w:t>Comments:</w:t>
      </w:r>
      <w:r w:rsidRPr="008626B2">
        <w:rPr>
          <w:rFonts w:asciiTheme="majorBidi" w:hAnsiTheme="majorBidi" w:cstheme="majorBidi"/>
          <w:i/>
          <w:iCs/>
          <w:sz w:val="24"/>
          <w:szCs w:val="24"/>
        </w:rPr>
        <w:t xml:space="preserve"> These retaliatory attacks have continued to be a common feature in various parts</w:t>
      </w:r>
      <w:r w:rsidR="008626B2" w:rsidRPr="008626B2">
        <w:rPr>
          <w:rFonts w:asciiTheme="majorBidi" w:hAnsiTheme="majorBidi" w:cstheme="majorBidi"/>
          <w:i/>
          <w:iCs/>
          <w:sz w:val="24"/>
          <w:szCs w:val="24"/>
        </w:rPr>
        <w:t xml:space="preserve"> </w:t>
      </w:r>
      <w:r w:rsidRPr="008626B2">
        <w:rPr>
          <w:rFonts w:asciiTheme="majorBidi" w:hAnsiTheme="majorBidi" w:cstheme="majorBidi"/>
          <w:i/>
          <w:iCs/>
          <w:sz w:val="24"/>
          <w:szCs w:val="24"/>
        </w:rPr>
        <w:t>of Unity State due to the proliferation of arms and ammunition in the context of cyclical retaliatory attacks and unresolved differences. HRD will continue to follow up, advocate for accountability and report accordingly.</w:t>
      </w:r>
    </w:p>
    <w:p w14:paraId="00625EE9" w14:textId="77777777" w:rsidR="00BE1D49" w:rsidRPr="00BE1D49" w:rsidRDefault="00BE1D49" w:rsidP="00BE1D49">
      <w:pPr>
        <w:spacing w:after="0" w:line="240" w:lineRule="atLeast"/>
        <w:jc w:val="both"/>
        <w:rPr>
          <w:rFonts w:asciiTheme="majorBidi" w:eastAsia="Palatino Linotype" w:hAnsiTheme="majorBidi" w:cstheme="majorBidi"/>
          <w:sz w:val="24"/>
          <w:szCs w:val="24"/>
        </w:rPr>
      </w:pPr>
    </w:p>
    <w:p w14:paraId="4A20ACC7" w14:textId="0D5AE383" w:rsidR="00CC3E4B" w:rsidRPr="00BE1D49"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Conflict-Related Sexual Violence (CRSV)</w:t>
      </w:r>
    </w:p>
    <w:p w14:paraId="4CFA5931" w14:textId="60506E0B" w:rsidR="007A4B4B" w:rsidRPr="00BE1D49"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Gender-Based Violence (SGBV)</w:t>
      </w:r>
    </w:p>
    <w:p w14:paraId="62015193" w14:textId="77777777" w:rsidR="00CC3E4B" w:rsidRPr="00BE1D49"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BE1D49">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BE1D49"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Accountability</w:t>
      </w:r>
    </w:p>
    <w:p w14:paraId="4EA3A3C9" w14:textId="28F0674C" w:rsidR="00AC26F1" w:rsidRPr="00BE1D49"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Transitional Justice</w:t>
      </w:r>
      <w:r w:rsidR="00AC26F1" w:rsidRPr="00BE1D49">
        <w:rPr>
          <w:rFonts w:asciiTheme="majorBidi" w:eastAsia="Palatino Linotype" w:hAnsiTheme="majorBidi" w:cstheme="majorBidi"/>
          <w:sz w:val="24"/>
          <w:szCs w:val="24"/>
        </w:rPr>
        <w:t>.</w:t>
      </w:r>
    </w:p>
    <w:p w14:paraId="54581CE3" w14:textId="7617AB6E" w:rsidR="00BA2489" w:rsidRPr="00BE1D49"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Engagement and Capacity Building</w:t>
      </w:r>
      <w:r w:rsidR="00F34260" w:rsidRPr="00BE1D49">
        <w:rPr>
          <w:rFonts w:asciiTheme="majorBidi" w:eastAsia="Palatino Linotype" w:hAnsiTheme="majorBidi" w:cstheme="majorBidi"/>
          <w:sz w:val="24"/>
          <w:szCs w:val="24"/>
        </w:rPr>
        <w:t xml:space="preserve">. </w:t>
      </w:r>
    </w:p>
    <w:p w14:paraId="414C0FB6" w14:textId="0AAE998F" w:rsidR="00872A4D" w:rsidRPr="00BE1D49"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Other Key Human Rights and Protection Concerns.</w:t>
      </w:r>
    </w:p>
    <w:sectPr w:rsidR="00872A4D" w:rsidRPr="00BE1D49"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3C541" w14:textId="77777777" w:rsidR="007C643E" w:rsidRDefault="007C643E" w:rsidP="004C4101">
      <w:pPr>
        <w:spacing w:after="0" w:line="240" w:lineRule="auto"/>
      </w:pPr>
      <w:r>
        <w:separator/>
      </w:r>
    </w:p>
  </w:endnote>
  <w:endnote w:type="continuationSeparator" w:id="0">
    <w:p w14:paraId="24A168E0" w14:textId="77777777" w:rsidR="007C643E" w:rsidRDefault="007C643E"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40205F4E"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766668">
          <w:rPr>
            <w:rFonts w:ascii="Times New Roman" w:hAnsi="Times New Roman" w:cs="Times New Roman"/>
            <w:color w:val="0070C0"/>
            <w:sz w:val="20"/>
            <w:szCs w:val="20"/>
          </w:rPr>
          <w:t>2</w:t>
        </w:r>
        <w:r w:rsidR="008626B2">
          <w:rPr>
            <w:rFonts w:ascii="Times New Roman" w:hAnsi="Times New Roman" w:cs="Times New Roman"/>
            <w:color w:val="0070C0"/>
            <w:sz w:val="20"/>
            <w:szCs w:val="20"/>
          </w:rPr>
          <w:t>8</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D2A7F" w14:textId="77777777" w:rsidR="007C643E" w:rsidRDefault="007C643E" w:rsidP="004C4101">
      <w:pPr>
        <w:spacing w:after="0" w:line="240" w:lineRule="auto"/>
      </w:pPr>
      <w:r>
        <w:separator/>
      </w:r>
    </w:p>
  </w:footnote>
  <w:footnote w:type="continuationSeparator" w:id="0">
    <w:p w14:paraId="6EC4E8C9" w14:textId="77777777" w:rsidR="007C643E" w:rsidRDefault="007C643E"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4"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6"/>
  </w:num>
  <w:num w:numId="2" w16cid:durableId="395399109">
    <w:abstractNumId w:val="2"/>
  </w:num>
  <w:num w:numId="3" w16cid:durableId="1713265759">
    <w:abstractNumId w:val="0"/>
  </w:num>
  <w:num w:numId="4" w16cid:durableId="802162705">
    <w:abstractNumId w:val="3"/>
  </w:num>
  <w:num w:numId="5" w16cid:durableId="1092363264">
    <w:abstractNumId w:val="9"/>
  </w:num>
  <w:num w:numId="6" w16cid:durableId="734858615">
    <w:abstractNumId w:val="4"/>
  </w:num>
  <w:num w:numId="7" w16cid:durableId="186795121">
    <w:abstractNumId w:val="10"/>
  </w:num>
  <w:num w:numId="8" w16cid:durableId="1151023901">
    <w:abstractNumId w:val="8"/>
  </w:num>
  <w:num w:numId="9" w16cid:durableId="49310161">
    <w:abstractNumId w:val="11"/>
  </w:num>
  <w:num w:numId="10" w16cid:durableId="540361275">
    <w:abstractNumId w:val="1"/>
  </w:num>
  <w:num w:numId="11" w16cid:durableId="1405254272">
    <w:abstractNumId w:val="14"/>
  </w:num>
  <w:num w:numId="12" w16cid:durableId="746726826">
    <w:abstractNumId w:val="13"/>
  </w:num>
  <w:num w:numId="13" w16cid:durableId="2008433917">
    <w:abstractNumId w:val="5"/>
  </w:num>
  <w:num w:numId="14" w16cid:durableId="1071661601">
    <w:abstractNumId w:val="7"/>
  </w:num>
  <w:num w:numId="15" w16cid:durableId="1199465848">
    <w:abstractNumId w:val="18"/>
  </w:num>
  <w:num w:numId="16" w16cid:durableId="1252660467">
    <w:abstractNumId w:val="15"/>
  </w:num>
  <w:num w:numId="17" w16cid:durableId="610169401">
    <w:abstractNumId w:val="6"/>
  </w:num>
  <w:num w:numId="18" w16cid:durableId="1934047371">
    <w:abstractNumId w:val="12"/>
  </w:num>
  <w:num w:numId="19" w16cid:durableId="1067260545">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6090"/>
    <w:rsid w:val="000151BD"/>
    <w:rsid w:val="0002310B"/>
    <w:rsid w:val="00023711"/>
    <w:rsid w:val="00023F87"/>
    <w:rsid w:val="000255F9"/>
    <w:rsid w:val="0002696B"/>
    <w:rsid w:val="00031CA7"/>
    <w:rsid w:val="00033F33"/>
    <w:rsid w:val="00034D7B"/>
    <w:rsid w:val="00035E9E"/>
    <w:rsid w:val="00042586"/>
    <w:rsid w:val="00043043"/>
    <w:rsid w:val="0004445C"/>
    <w:rsid w:val="000465A3"/>
    <w:rsid w:val="00050AC6"/>
    <w:rsid w:val="000555D8"/>
    <w:rsid w:val="00055A84"/>
    <w:rsid w:val="00057857"/>
    <w:rsid w:val="00062BAB"/>
    <w:rsid w:val="00062D68"/>
    <w:rsid w:val="00067C36"/>
    <w:rsid w:val="00071445"/>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158"/>
    <w:rsid w:val="003E4D76"/>
    <w:rsid w:val="003F071B"/>
    <w:rsid w:val="003F24FA"/>
    <w:rsid w:val="003F29E1"/>
    <w:rsid w:val="00401BD6"/>
    <w:rsid w:val="00401CFC"/>
    <w:rsid w:val="00401EAB"/>
    <w:rsid w:val="00403156"/>
    <w:rsid w:val="00405C39"/>
    <w:rsid w:val="00406B02"/>
    <w:rsid w:val="00406C04"/>
    <w:rsid w:val="00407CE1"/>
    <w:rsid w:val="00410491"/>
    <w:rsid w:val="00421507"/>
    <w:rsid w:val="00424B04"/>
    <w:rsid w:val="00424C28"/>
    <w:rsid w:val="004265F3"/>
    <w:rsid w:val="00430D94"/>
    <w:rsid w:val="00433C85"/>
    <w:rsid w:val="00440675"/>
    <w:rsid w:val="00441370"/>
    <w:rsid w:val="00444251"/>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1C3A"/>
    <w:rsid w:val="00491C64"/>
    <w:rsid w:val="00496A14"/>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20A57"/>
    <w:rsid w:val="005237D6"/>
    <w:rsid w:val="00524F37"/>
    <w:rsid w:val="00525301"/>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5E23"/>
    <w:rsid w:val="00567C72"/>
    <w:rsid w:val="0057184B"/>
    <w:rsid w:val="00573476"/>
    <w:rsid w:val="00575337"/>
    <w:rsid w:val="005759BF"/>
    <w:rsid w:val="00577473"/>
    <w:rsid w:val="005774BA"/>
    <w:rsid w:val="005820FF"/>
    <w:rsid w:val="005845A1"/>
    <w:rsid w:val="00584C78"/>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A44"/>
    <w:rsid w:val="00740C87"/>
    <w:rsid w:val="007434FB"/>
    <w:rsid w:val="00743783"/>
    <w:rsid w:val="007445DB"/>
    <w:rsid w:val="00747B8E"/>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43E"/>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A9B"/>
    <w:rsid w:val="008261B5"/>
    <w:rsid w:val="00831516"/>
    <w:rsid w:val="008342EE"/>
    <w:rsid w:val="0083558B"/>
    <w:rsid w:val="008363AF"/>
    <w:rsid w:val="00836C22"/>
    <w:rsid w:val="00836E3F"/>
    <w:rsid w:val="0084307C"/>
    <w:rsid w:val="0084376D"/>
    <w:rsid w:val="00850308"/>
    <w:rsid w:val="0085049E"/>
    <w:rsid w:val="00861285"/>
    <w:rsid w:val="008626B2"/>
    <w:rsid w:val="00872862"/>
    <w:rsid w:val="00872A4D"/>
    <w:rsid w:val="00872CF6"/>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5F37"/>
    <w:rsid w:val="00992309"/>
    <w:rsid w:val="00994298"/>
    <w:rsid w:val="009963E9"/>
    <w:rsid w:val="00997B96"/>
    <w:rsid w:val="009A0A8D"/>
    <w:rsid w:val="009A3329"/>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F15"/>
    <w:rsid w:val="00A66415"/>
    <w:rsid w:val="00A676B1"/>
    <w:rsid w:val="00A76517"/>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87FCE"/>
    <w:rsid w:val="00E91C53"/>
    <w:rsid w:val="00E96297"/>
    <w:rsid w:val="00E96494"/>
    <w:rsid w:val="00EA013D"/>
    <w:rsid w:val="00EA20F9"/>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1CA7"/>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C4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7</cp:revision>
  <dcterms:created xsi:type="dcterms:W3CDTF">2025-10-28T12:47:00Z</dcterms:created>
  <dcterms:modified xsi:type="dcterms:W3CDTF">2025-10-28T13:02:00Z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