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5548CE"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5548CE">
        <w:rPr>
          <w:rFonts w:asciiTheme="majorBidi" w:eastAsia="Times New Roman" w:hAnsiTheme="majorBidi" w:cstheme="majorBidi"/>
          <w:spacing w:val="-10"/>
          <w:sz w:val="24"/>
          <w:szCs w:val="24"/>
        </w:rPr>
        <w:t xml:space="preserve">UNITED NATIONS   </w:t>
      </w:r>
      <w:r w:rsidRPr="005548CE">
        <w:rPr>
          <w:rFonts w:asciiTheme="majorBidi" w:eastAsia="Times New Roman" w:hAnsiTheme="majorBidi" w:cstheme="majorBidi"/>
          <w:spacing w:val="-5"/>
          <w:sz w:val="24"/>
          <w:szCs w:val="24"/>
        </w:rPr>
        <w:t xml:space="preserve"> </w:t>
      </w:r>
      <w:r w:rsidRPr="005548CE">
        <w:rPr>
          <w:rFonts w:asciiTheme="majorBidi" w:eastAsia="Calibri" w:hAnsiTheme="majorBidi" w:cstheme="majorBidi"/>
          <w:noProof/>
          <w:sz w:val="24"/>
          <w:szCs w:val="24"/>
        </w:rPr>
        <w:object w:dxaOrig="690" w:dyaOrig="585" w14:anchorId="553D7E25">
          <v:rect id="rectole0000000000" o:spid="_x0000_i1025" style="width:36pt;height:29.5pt" o:ole="" o:preferrelative="t" stroked="f">
            <v:imagedata r:id="rId8" o:title=""/>
          </v:rect>
          <o:OLEObject Type="Embed" ProgID="StaticMetafile" ShapeID="rectole0000000000" DrawAspect="Content" ObjectID="_1823509899" r:id="rId9"/>
        </w:object>
      </w:r>
      <w:r w:rsidRPr="005548CE">
        <w:rPr>
          <w:rFonts w:asciiTheme="majorBidi" w:eastAsia="Times New Roman" w:hAnsiTheme="majorBidi" w:cstheme="majorBidi"/>
          <w:position w:val="-4"/>
          <w:sz w:val="24"/>
          <w:szCs w:val="24"/>
        </w:rPr>
        <w:t xml:space="preserve">      </w:t>
      </w:r>
      <w:r w:rsidRPr="005548CE">
        <w:rPr>
          <w:rFonts w:asciiTheme="majorBidi" w:eastAsia="Times New Roman" w:hAnsiTheme="majorBidi" w:cstheme="majorBidi"/>
          <w:spacing w:val="-10"/>
          <w:position w:val="-4"/>
          <w:sz w:val="24"/>
          <w:szCs w:val="24"/>
        </w:rPr>
        <w:t xml:space="preserve"> </w:t>
      </w:r>
      <w:proofErr w:type="spellStart"/>
      <w:r w:rsidRPr="005548CE">
        <w:rPr>
          <w:rFonts w:asciiTheme="majorBidi" w:eastAsia="Times New Roman" w:hAnsiTheme="majorBidi" w:cstheme="majorBidi"/>
          <w:position w:val="-4"/>
          <w:sz w:val="24"/>
          <w:szCs w:val="24"/>
          <w:rtl/>
        </w:rPr>
        <w:t>ألأمم</w:t>
      </w:r>
      <w:proofErr w:type="spellEnd"/>
      <w:r w:rsidRPr="005548CE">
        <w:rPr>
          <w:rFonts w:asciiTheme="majorBidi" w:eastAsia="Times New Roman" w:hAnsiTheme="majorBidi" w:cstheme="majorBidi"/>
          <w:position w:val="-4"/>
          <w:sz w:val="24"/>
          <w:szCs w:val="24"/>
          <w:rtl/>
        </w:rPr>
        <w:t xml:space="preserve"> المتحدة</w:t>
      </w:r>
    </w:p>
    <w:p w14:paraId="00EFBC62"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United Nations Mission in South Sudan (UNMISS)</w:t>
      </w:r>
    </w:p>
    <w:p w14:paraId="081AB9B9"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Human Rights Division (HRD)</w:t>
      </w:r>
    </w:p>
    <w:p w14:paraId="15048F8E"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5548CE" w:rsidRDefault="00CC3E4B" w:rsidP="00EA6CDB">
      <w:pPr>
        <w:spacing w:after="0" w:line="240" w:lineRule="atLeast"/>
        <w:jc w:val="center"/>
        <w:rPr>
          <w:rFonts w:asciiTheme="majorBidi" w:eastAsia="Calibri" w:hAnsiTheme="majorBidi" w:cstheme="majorBidi"/>
          <w:sz w:val="24"/>
          <w:szCs w:val="24"/>
        </w:rPr>
      </w:pPr>
      <w:r w:rsidRPr="005548CE">
        <w:rPr>
          <w:rFonts w:asciiTheme="majorBidi" w:eastAsia="Calibri" w:hAnsiTheme="majorBidi" w:cstheme="majorBidi"/>
          <w:sz w:val="24"/>
          <w:szCs w:val="24"/>
        </w:rPr>
        <w:t>Bentiu Field Office Daily Report</w:t>
      </w:r>
    </w:p>
    <w:p w14:paraId="137E3EA5"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6D35EE78" w14:textId="72982150" w:rsidR="00CC3E4B" w:rsidRPr="005548CE" w:rsidRDefault="000F0B72" w:rsidP="00EA6CDB">
      <w:pPr>
        <w:spacing w:after="0" w:line="240" w:lineRule="atLeast"/>
        <w:jc w:val="center"/>
        <w:rPr>
          <w:rFonts w:asciiTheme="majorBidi" w:eastAsia="Calibri" w:hAnsiTheme="majorBidi" w:cstheme="majorBidi"/>
          <w:sz w:val="24"/>
          <w:szCs w:val="24"/>
        </w:rPr>
      </w:pPr>
      <w:r>
        <w:rPr>
          <w:rFonts w:asciiTheme="majorBidi" w:eastAsia="Calibri" w:hAnsiTheme="majorBidi" w:cstheme="majorBidi"/>
          <w:sz w:val="24"/>
          <w:szCs w:val="24"/>
        </w:rPr>
        <w:t>01 Novem</w:t>
      </w:r>
      <w:r w:rsidR="0057184B" w:rsidRPr="005548CE">
        <w:rPr>
          <w:rFonts w:asciiTheme="majorBidi" w:eastAsia="Calibri" w:hAnsiTheme="majorBidi" w:cstheme="majorBidi"/>
          <w:sz w:val="24"/>
          <w:szCs w:val="24"/>
        </w:rPr>
        <w:t>ber</w:t>
      </w:r>
      <w:r w:rsidR="00D16E7A" w:rsidRPr="005548CE">
        <w:rPr>
          <w:rFonts w:asciiTheme="majorBidi" w:eastAsia="Calibri" w:hAnsiTheme="majorBidi" w:cstheme="majorBidi"/>
          <w:sz w:val="24"/>
          <w:szCs w:val="24"/>
        </w:rPr>
        <w:t xml:space="preserve"> 2025</w:t>
      </w:r>
    </w:p>
    <w:p w14:paraId="490A6A14"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5548CE" w:rsidRDefault="00CC3E4B" w:rsidP="00EA6CDB">
      <w:pPr>
        <w:spacing w:after="0" w:line="240" w:lineRule="atLeast"/>
        <w:jc w:val="both"/>
        <w:rPr>
          <w:rFonts w:asciiTheme="majorBidi" w:eastAsia="Aptos" w:hAnsiTheme="majorBidi" w:cstheme="majorBidi"/>
          <w:sz w:val="24"/>
          <w:szCs w:val="24"/>
          <w14:ligatures w14:val="standardContextual"/>
        </w:rPr>
      </w:pPr>
      <w:r w:rsidRPr="005548CE">
        <w:rPr>
          <w:rFonts w:asciiTheme="majorBidi" w:eastAsia="Palatino Linotype" w:hAnsiTheme="majorBidi" w:cstheme="majorBidi"/>
          <w:sz w:val="24"/>
          <w:szCs w:val="24"/>
        </w:rPr>
        <w:t>Highlights</w:t>
      </w:r>
      <w:bookmarkStart w:id="1" w:name="_Hlk172814707"/>
      <w:r w:rsidRPr="005548CE">
        <w:rPr>
          <w:rFonts w:asciiTheme="majorBidi" w:eastAsia="Aptos" w:hAnsiTheme="majorBidi" w:cstheme="majorBidi"/>
          <w:sz w:val="24"/>
          <w:szCs w:val="24"/>
          <w14:ligatures w14:val="standardContextual"/>
        </w:rPr>
        <w:t xml:space="preserve"> </w:t>
      </w:r>
    </w:p>
    <w:p w14:paraId="2ADEBDC1" w14:textId="77777777" w:rsidR="000F0B72" w:rsidRPr="000F0B72" w:rsidRDefault="00C21688" w:rsidP="000F0B72">
      <w:pPr>
        <w:spacing w:after="0" w:line="240" w:lineRule="atLeast"/>
        <w:jc w:val="both"/>
        <w:rPr>
          <w:rFonts w:asciiTheme="majorBidi" w:eastAsia="Aptos" w:hAnsiTheme="majorBidi" w:cstheme="majorBidi"/>
          <w:i/>
          <w:iCs/>
          <w:sz w:val="24"/>
          <w:szCs w:val="24"/>
          <w14:ligatures w14:val="standardContextual"/>
        </w:rPr>
      </w:pPr>
      <w:r w:rsidRPr="000F0B72">
        <w:rPr>
          <w:rFonts w:asciiTheme="majorBidi" w:eastAsia="Aptos" w:hAnsiTheme="majorBidi" w:cstheme="majorBidi"/>
          <w:i/>
          <w:iCs/>
          <w:sz w:val="24"/>
          <w:szCs w:val="24"/>
          <w14:ligatures w14:val="standardContextual"/>
        </w:rPr>
        <w:t xml:space="preserve"> </w:t>
      </w:r>
      <w:bookmarkStart w:id="2" w:name="_Hlk198224089"/>
      <w:bookmarkEnd w:id="1"/>
    </w:p>
    <w:p w14:paraId="4126A015" w14:textId="47CB520C" w:rsidR="008730C8" w:rsidRPr="000F0B72" w:rsidRDefault="000F0B72" w:rsidP="000F0B72">
      <w:pPr>
        <w:pStyle w:val="ListParagraph"/>
        <w:numPr>
          <w:ilvl w:val="0"/>
          <w:numId w:val="23"/>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0F0B72">
        <w:rPr>
          <w:rFonts w:asciiTheme="majorBidi" w:eastAsia="Aptos" w:hAnsiTheme="majorBidi" w:cstheme="majorBidi"/>
          <w:i/>
          <w:iCs/>
          <w:sz w:val="24"/>
          <w:szCs w:val="24"/>
          <w14:ligatures w14:val="standardContextual"/>
        </w:rPr>
        <w:t xml:space="preserve">HRD participated in the </w:t>
      </w:r>
      <w:r w:rsidRPr="000F0B72">
        <w:rPr>
          <w:rFonts w:asciiTheme="majorBidi" w:eastAsia="Aptos" w:hAnsiTheme="majorBidi" w:cstheme="majorBidi"/>
          <w:i/>
          <w:iCs/>
          <w:sz w:val="24"/>
          <w:szCs w:val="24"/>
          <w14:ligatures w14:val="standardContextual"/>
        </w:rPr>
        <w:t>Bentiu Sub-national Protection Cluster Monthly Meeting that held at the humanitarian log base in Bentiu</w:t>
      </w:r>
    </w:p>
    <w:p w14:paraId="1287C54A" w14:textId="77777777" w:rsidR="005548CE" w:rsidRPr="005548CE" w:rsidRDefault="005548CE" w:rsidP="005548CE">
      <w:pPr>
        <w:pStyle w:val="ListParagraph"/>
        <w:spacing w:after="160" w:line="259" w:lineRule="auto"/>
        <w:ind w:left="1440"/>
        <w:jc w:val="both"/>
        <w:rPr>
          <w:rFonts w:asciiTheme="majorBidi" w:hAnsiTheme="majorBidi" w:cstheme="majorBidi"/>
          <w:i/>
          <w:iCs/>
          <w:sz w:val="24"/>
          <w:szCs w:val="24"/>
        </w:rPr>
      </w:pPr>
    </w:p>
    <w:p w14:paraId="5A22CF7E" w14:textId="77777777" w:rsidR="00DB7840" w:rsidRPr="005548CE" w:rsidRDefault="00DB7840" w:rsidP="00DB7840">
      <w:pPr>
        <w:pStyle w:val="ListParagraph"/>
        <w:spacing w:after="160" w:line="259" w:lineRule="auto"/>
        <w:ind w:left="1440"/>
        <w:jc w:val="both"/>
        <w:rPr>
          <w:rFonts w:asciiTheme="majorBidi" w:hAnsiTheme="majorBidi" w:cstheme="majorBidi"/>
          <w:i/>
          <w:iCs/>
          <w:sz w:val="24"/>
          <w:szCs w:val="24"/>
        </w:rPr>
      </w:pPr>
    </w:p>
    <w:p w14:paraId="321BB6AD" w14:textId="4E34C3F2" w:rsidR="00C777CF" w:rsidRPr="00EA2676"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548CE">
        <w:rPr>
          <w:rFonts w:asciiTheme="majorBidi" w:eastAsia="Calibri" w:hAnsiTheme="majorBidi" w:cstheme="majorBidi"/>
          <w:sz w:val="24"/>
          <w:szCs w:val="24"/>
        </w:rPr>
        <w:t>Political and Security Update</w:t>
      </w:r>
    </w:p>
    <w:p w14:paraId="60B2A229" w14:textId="7110492E" w:rsidR="00283E27" w:rsidRPr="005548CE"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Human Rights in the Electoral Process</w:t>
      </w:r>
      <w:r w:rsidR="00062BAB" w:rsidRPr="005548CE">
        <w:rPr>
          <w:rFonts w:asciiTheme="majorBidi" w:eastAsia="Palatino Linotype" w:hAnsiTheme="majorBidi" w:cstheme="majorBidi"/>
          <w:sz w:val="24"/>
          <w:szCs w:val="24"/>
        </w:rPr>
        <w:t>.</w:t>
      </w:r>
    </w:p>
    <w:p w14:paraId="00625EE9" w14:textId="58F51695" w:rsidR="00BE1D49" w:rsidRPr="005548CE" w:rsidRDefault="00D45CD8" w:rsidP="00360A5E">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C</w:t>
      </w:r>
      <w:r w:rsidR="00CC3E4B" w:rsidRPr="005548CE">
        <w:rPr>
          <w:rFonts w:asciiTheme="majorBidi" w:eastAsia="Palatino Linotype" w:hAnsiTheme="majorBidi" w:cstheme="majorBidi"/>
          <w:sz w:val="24"/>
          <w:szCs w:val="24"/>
        </w:rPr>
        <w:t>onflict-Related Violations/Abuses</w:t>
      </w:r>
    </w:p>
    <w:p w14:paraId="4A20ACC7" w14:textId="0D5AE383" w:rsidR="00CC3E4B"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Conflict-Related Sexual Violence (CRSV)</w:t>
      </w:r>
    </w:p>
    <w:p w14:paraId="4CFA5931" w14:textId="60506E0B" w:rsidR="007A4B4B" w:rsidRPr="005548CE"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Gender-Based Violence (SGBV)</w:t>
      </w:r>
    </w:p>
    <w:p w14:paraId="62015193" w14:textId="77777777" w:rsidR="00CC3E4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5548CE">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Accountability</w:t>
      </w:r>
    </w:p>
    <w:p w14:paraId="64A9DAFE" w14:textId="54048FA6" w:rsidR="00A766E2" w:rsidRPr="005548CE"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Transitional Justice</w:t>
      </w:r>
      <w:r w:rsidR="00AC26F1" w:rsidRPr="005548CE">
        <w:rPr>
          <w:rFonts w:asciiTheme="majorBidi" w:eastAsia="Palatino Linotype" w:hAnsiTheme="majorBidi" w:cstheme="majorBidi"/>
          <w:sz w:val="24"/>
          <w:szCs w:val="24"/>
        </w:rPr>
        <w:t>.</w:t>
      </w:r>
    </w:p>
    <w:p w14:paraId="54581CE3" w14:textId="7617AB6E" w:rsidR="00BA2489"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Engagement and Capacity Building</w:t>
      </w:r>
      <w:r w:rsidR="00F34260" w:rsidRPr="005548CE">
        <w:rPr>
          <w:rFonts w:asciiTheme="majorBidi" w:eastAsia="Palatino Linotype" w:hAnsiTheme="majorBidi" w:cstheme="majorBidi"/>
          <w:sz w:val="24"/>
          <w:szCs w:val="24"/>
        </w:rPr>
        <w:t xml:space="preserve">. </w:t>
      </w:r>
    </w:p>
    <w:p w14:paraId="414C0FB6" w14:textId="0AAE998F" w:rsidR="00872A4D"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Other Key Human Rights and Protection Concerns.</w:t>
      </w:r>
    </w:p>
    <w:p w14:paraId="24038D66" w14:textId="77777777" w:rsidR="000F0B72" w:rsidRDefault="000F0B72" w:rsidP="000F0B72">
      <w:pPr>
        <w:spacing w:after="0" w:line="240" w:lineRule="atLeast"/>
        <w:ind w:left="284"/>
        <w:contextualSpacing/>
        <w:jc w:val="both"/>
        <w:rPr>
          <w:rFonts w:asciiTheme="majorBidi" w:eastAsia="Palatino Linotype" w:hAnsiTheme="majorBidi" w:cstheme="majorBidi"/>
          <w:sz w:val="24"/>
          <w:szCs w:val="24"/>
        </w:rPr>
      </w:pPr>
    </w:p>
    <w:p w14:paraId="1CE3C0A7" w14:textId="77777777" w:rsidR="000F0B72" w:rsidRDefault="000F0B72" w:rsidP="000F0B72">
      <w:pPr>
        <w:numPr>
          <w:ilvl w:val="0"/>
          <w:numId w:val="23"/>
        </w:numPr>
        <w:spacing w:after="0" w:line="240" w:lineRule="atLeast"/>
        <w:contextualSpacing/>
        <w:jc w:val="both"/>
        <w:rPr>
          <w:rFonts w:asciiTheme="majorBidi" w:eastAsia="Palatino Linotype" w:hAnsiTheme="majorBidi" w:cstheme="majorBidi"/>
          <w:i/>
          <w:iCs/>
          <w:sz w:val="24"/>
          <w:szCs w:val="24"/>
        </w:rPr>
      </w:pPr>
      <w:r w:rsidRPr="000F0B72">
        <w:rPr>
          <w:rFonts w:asciiTheme="majorBidi" w:eastAsia="Palatino Linotype" w:hAnsiTheme="majorBidi" w:cstheme="majorBidi"/>
          <w:i/>
          <w:iCs/>
          <w:sz w:val="24"/>
          <w:szCs w:val="24"/>
        </w:rPr>
        <w:t>HRD participated in the Bentiu Sub-national Protection Cluster Monthly Meeting that held at the humanitarian log base in Bentiu</w:t>
      </w:r>
    </w:p>
    <w:p w14:paraId="2344FBE0" w14:textId="77777777" w:rsidR="000F0B72" w:rsidRPr="000F0B72" w:rsidRDefault="000F0B72" w:rsidP="000F0B72">
      <w:pPr>
        <w:spacing w:after="0" w:line="240" w:lineRule="atLeast"/>
        <w:ind w:left="720"/>
        <w:contextualSpacing/>
        <w:jc w:val="both"/>
        <w:rPr>
          <w:rFonts w:asciiTheme="majorBidi" w:eastAsia="Palatino Linotype" w:hAnsiTheme="majorBidi" w:cstheme="majorBidi"/>
          <w:i/>
          <w:iCs/>
          <w:sz w:val="24"/>
          <w:szCs w:val="24"/>
        </w:rPr>
      </w:pPr>
    </w:p>
    <w:p w14:paraId="24C92CA4" w14:textId="1A7F767C" w:rsidR="000F0B72"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 xml:space="preserve">On 31 October 2025, HRD participated in the Bentiu Sub-national Protection Cluster Monthly Meeting that held at the humanitarian log base in Bentiu. During the review of the previous minutes, a major protection concerns affecting returnees and displaced communities in </w:t>
      </w:r>
      <w:proofErr w:type="spellStart"/>
      <w:r w:rsidRPr="000F0B72">
        <w:rPr>
          <w:rFonts w:asciiTheme="majorBidi" w:eastAsia="Palatino Linotype" w:hAnsiTheme="majorBidi" w:cstheme="majorBidi"/>
          <w:sz w:val="24"/>
          <w:szCs w:val="24"/>
        </w:rPr>
        <w:t>Rotriak</w:t>
      </w:r>
      <w:proofErr w:type="spellEnd"/>
      <w:r w:rsidRPr="000F0B72">
        <w:rPr>
          <w:rFonts w:asciiTheme="majorBidi" w:eastAsia="Palatino Linotype" w:hAnsiTheme="majorBidi" w:cstheme="majorBidi"/>
          <w:sz w:val="24"/>
          <w:szCs w:val="24"/>
        </w:rPr>
        <w:t xml:space="preserve">, </w:t>
      </w:r>
      <w:proofErr w:type="spellStart"/>
      <w:r w:rsidRPr="000F0B72">
        <w:rPr>
          <w:rFonts w:asciiTheme="majorBidi" w:eastAsia="Palatino Linotype" w:hAnsiTheme="majorBidi" w:cstheme="majorBidi"/>
          <w:sz w:val="24"/>
          <w:szCs w:val="24"/>
        </w:rPr>
        <w:t>Budang</w:t>
      </w:r>
      <w:proofErr w:type="spellEnd"/>
      <w:r w:rsidRPr="000F0B72">
        <w:rPr>
          <w:rFonts w:asciiTheme="majorBidi" w:eastAsia="Palatino Linotype" w:hAnsiTheme="majorBidi" w:cstheme="majorBidi"/>
          <w:sz w:val="24"/>
          <w:szCs w:val="24"/>
        </w:rPr>
        <w:t xml:space="preserve"> Payam, </w:t>
      </w:r>
      <w:proofErr w:type="spellStart"/>
      <w:r w:rsidRPr="000F0B72">
        <w:rPr>
          <w:rFonts w:asciiTheme="majorBidi" w:eastAsia="Palatino Linotype" w:hAnsiTheme="majorBidi" w:cstheme="majorBidi"/>
          <w:sz w:val="24"/>
          <w:szCs w:val="24"/>
        </w:rPr>
        <w:t>Rubkona</w:t>
      </w:r>
      <w:proofErr w:type="spellEnd"/>
      <w:r w:rsidRPr="000F0B72">
        <w:rPr>
          <w:rFonts w:asciiTheme="majorBidi" w:eastAsia="Palatino Linotype" w:hAnsiTheme="majorBidi" w:cstheme="majorBidi"/>
          <w:sz w:val="24"/>
          <w:szCs w:val="24"/>
        </w:rPr>
        <w:t xml:space="preserve"> County</w:t>
      </w:r>
      <w:r w:rsidR="0044436D">
        <w:rPr>
          <w:rFonts w:asciiTheme="majorBidi" w:eastAsia="Palatino Linotype" w:hAnsiTheme="majorBidi" w:cstheme="majorBidi"/>
          <w:sz w:val="24"/>
          <w:szCs w:val="24"/>
        </w:rPr>
        <w:t xml:space="preserve"> was raised</w:t>
      </w:r>
      <w:r w:rsidRPr="000F0B72">
        <w:rPr>
          <w:rFonts w:asciiTheme="majorBidi" w:eastAsia="Palatino Linotype" w:hAnsiTheme="majorBidi" w:cstheme="majorBidi"/>
          <w:sz w:val="24"/>
          <w:szCs w:val="24"/>
        </w:rPr>
        <w:t xml:space="preserve">. The participants stressed that there has been ongoing night robbery and other forms of criminality reported in the area. The cluster members noted that </w:t>
      </w:r>
      <w:proofErr w:type="spellStart"/>
      <w:r w:rsidRPr="000F0B72">
        <w:rPr>
          <w:rFonts w:asciiTheme="majorBidi" w:eastAsia="Palatino Linotype" w:hAnsiTheme="majorBidi" w:cstheme="majorBidi"/>
          <w:sz w:val="24"/>
          <w:szCs w:val="24"/>
        </w:rPr>
        <w:t>Rotriak</w:t>
      </w:r>
      <w:proofErr w:type="spellEnd"/>
      <w:r w:rsidRPr="000F0B72">
        <w:rPr>
          <w:rFonts w:asciiTheme="majorBidi" w:eastAsia="Palatino Linotype" w:hAnsiTheme="majorBidi" w:cstheme="majorBidi"/>
          <w:sz w:val="24"/>
          <w:szCs w:val="24"/>
        </w:rPr>
        <w:t xml:space="preserve"> is a sensitive location to enhance POC as it is hosting so many returnees, refugees and the IDPs. The protection members had earlier requested UNMISS to conduct advocacy and engage the Unity State authorities for an increased deployment of national security agents to </w:t>
      </w:r>
      <w:proofErr w:type="spellStart"/>
      <w:r w:rsidRPr="000F0B72">
        <w:rPr>
          <w:rFonts w:asciiTheme="majorBidi" w:eastAsia="Palatino Linotype" w:hAnsiTheme="majorBidi" w:cstheme="majorBidi"/>
          <w:sz w:val="24"/>
          <w:szCs w:val="24"/>
        </w:rPr>
        <w:t>Rotriak</w:t>
      </w:r>
      <w:proofErr w:type="spellEnd"/>
      <w:r w:rsidRPr="000F0B72">
        <w:rPr>
          <w:rFonts w:asciiTheme="majorBidi" w:eastAsia="Palatino Linotype" w:hAnsiTheme="majorBidi" w:cstheme="majorBidi"/>
          <w:sz w:val="24"/>
          <w:szCs w:val="24"/>
        </w:rPr>
        <w:t>.  This insecurity was negatively affecting the protection of civilians, nonetheless, there haven’t been any tangible accountability mechanisms that have been put in place to track the criminals and bring them to justice. The Cluster members agreed to conduct an assessment into the criminality situation, capture statistics and propose other intervention strategies to holistically address the situation.</w:t>
      </w:r>
      <w:r w:rsidR="0044436D">
        <w:rPr>
          <w:rFonts w:asciiTheme="majorBidi" w:eastAsia="Palatino Linotype" w:hAnsiTheme="majorBidi" w:cstheme="majorBidi"/>
          <w:sz w:val="24"/>
          <w:szCs w:val="24"/>
        </w:rPr>
        <w:t xml:space="preserve"> UNMISS through PTR and UNPOL was to act on this recommendation.  </w:t>
      </w:r>
    </w:p>
    <w:p w14:paraId="714B7A0F" w14:textId="6C76CDFC"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 xml:space="preserve"> </w:t>
      </w:r>
    </w:p>
    <w:p w14:paraId="7796964B" w14:textId="26F140AD"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 xml:space="preserve">Discussions further focused on flood response from Koch Counties.  It was reported that floods in Koch County of Unity State have caused a humanitarian crisis leading to the displacement of approximately 47,984 people with severe food insecurity due to widespread crop and livestock destruction. The crisis impacts vulnerable communities in flood-prone areas, causing displacement, disrupting agriculture, access to food, disruption in schooling as educational institutions have been </w:t>
      </w:r>
      <w:r w:rsidRPr="000F0B72">
        <w:rPr>
          <w:rFonts w:asciiTheme="majorBidi" w:eastAsia="Palatino Linotype" w:hAnsiTheme="majorBidi" w:cstheme="majorBidi"/>
          <w:sz w:val="24"/>
          <w:szCs w:val="24"/>
        </w:rPr>
        <w:lastRenderedPageBreak/>
        <w:t xml:space="preserve">flooded, and escalating malnutrition. The major areas impacted were mostly the rural communities who are dependent on agriculture and livestock rearing. Vulnerable groups such as children, the elderly, and those living in poverty were the ones who were mostly impacted by this flooding. </w:t>
      </w:r>
    </w:p>
    <w:p w14:paraId="6710BD65" w14:textId="77777777" w:rsidR="000F0B72"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Due to flooding, people have been displaced to higher ground locations where they were also facing other challenges including limited privacy, an increased risk in sexual violence, limited access to the protection services to children, lactating mothers/pregnant women, elderly &amp; People with disabilities. They highlighted an increased risk of abuse and neglect especially as there have been a disruption in education &amp; safe learning environment.</w:t>
      </w:r>
    </w:p>
    <w:p w14:paraId="3FCC1122" w14:textId="77777777"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p>
    <w:p w14:paraId="083EB92A" w14:textId="249515EE"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 xml:space="preserve">Protection Partners recommended prompt response in the provision of Canoes to People with Special Needs so they could access the protection services or follow them with protection services where they migrated to.  Another recommendation was for the protection Partners to initiate Cash Assistance to vulnerable Population </w:t>
      </w:r>
      <w:r w:rsidRPr="0044436D">
        <w:rPr>
          <w:rFonts w:asciiTheme="majorBidi" w:eastAsia="Palatino Linotype" w:hAnsiTheme="majorBidi" w:cstheme="majorBidi"/>
          <w:i/>
          <w:iCs/>
          <w:sz w:val="24"/>
          <w:szCs w:val="24"/>
        </w:rPr>
        <w:t>(Widows, Orphan, Person with disabilities, Caregivers of Malnourished children &amp; elderly people)</w:t>
      </w:r>
      <w:r w:rsidRPr="000F0B72">
        <w:rPr>
          <w:rFonts w:asciiTheme="majorBidi" w:eastAsia="Palatino Linotype" w:hAnsiTheme="majorBidi" w:cstheme="majorBidi"/>
          <w:sz w:val="24"/>
          <w:szCs w:val="24"/>
        </w:rPr>
        <w:t xml:space="preserve"> within the flood affected Population. </w:t>
      </w:r>
    </w:p>
    <w:p w14:paraId="69524231" w14:textId="77777777"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p>
    <w:p w14:paraId="13C24C03" w14:textId="1AFD9C6E" w:rsidR="000F0B72" w:rsidRDefault="0044436D" w:rsidP="000F0B72">
      <w:pPr>
        <w:spacing w:after="0" w:line="240" w:lineRule="atLeast"/>
        <w:ind w:left="284"/>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On another topic, t</w:t>
      </w:r>
      <w:r w:rsidR="000F0B72" w:rsidRPr="000F0B72">
        <w:rPr>
          <w:rFonts w:asciiTheme="majorBidi" w:eastAsia="Palatino Linotype" w:hAnsiTheme="majorBidi" w:cstheme="majorBidi"/>
          <w:sz w:val="24"/>
          <w:szCs w:val="24"/>
        </w:rPr>
        <w:t xml:space="preserve">he participants requested IOM to constantly update about new returnees who come to Bentiu by flight through Renk and Malakal to Bentiu. Members wanted to know the statistics and schedule of movement to prepare for any sort of humanitarian assistance to be provided once these IDPs/Returnees arrive Bentiu while awaiting integration into their communities.  </w:t>
      </w:r>
    </w:p>
    <w:p w14:paraId="06FB471E" w14:textId="77777777" w:rsidR="000F0B72" w:rsidRPr="000F0B72" w:rsidRDefault="000F0B72" w:rsidP="000F0B72">
      <w:pPr>
        <w:spacing w:after="0" w:line="240" w:lineRule="atLeast"/>
        <w:ind w:left="284"/>
        <w:contextualSpacing/>
        <w:jc w:val="both"/>
        <w:rPr>
          <w:rFonts w:asciiTheme="majorBidi" w:eastAsia="Palatino Linotype" w:hAnsiTheme="majorBidi" w:cstheme="majorBidi"/>
          <w:sz w:val="24"/>
          <w:szCs w:val="24"/>
        </w:rPr>
      </w:pPr>
    </w:p>
    <w:p w14:paraId="19AC0D01" w14:textId="1FEACC62" w:rsidR="000F0B72" w:rsidRPr="005548CE" w:rsidRDefault="000F0B72" w:rsidP="000F0B72">
      <w:pPr>
        <w:spacing w:after="0" w:line="240" w:lineRule="atLeast"/>
        <w:ind w:left="284"/>
        <w:contextualSpacing/>
        <w:jc w:val="both"/>
        <w:rPr>
          <w:rFonts w:asciiTheme="majorBidi" w:eastAsia="Palatino Linotype" w:hAnsiTheme="majorBidi" w:cstheme="majorBidi"/>
          <w:sz w:val="24"/>
          <w:szCs w:val="24"/>
        </w:rPr>
      </w:pPr>
      <w:r w:rsidRPr="000F0B72">
        <w:rPr>
          <w:rFonts w:asciiTheme="majorBidi" w:eastAsia="Palatino Linotype" w:hAnsiTheme="majorBidi" w:cstheme="majorBidi"/>
          <w:sz w:val="24"/>
          <w:szCs w:val="24"/>
        </w:rPr>
        <w:t xml:space="preserve">To conclude, UNMISS was tasked to provide an update on the just ended Mobile Court process. UNMISS </w:t>
      </w:r>
      <w:proofErr w:type="spellStart"/>
      <w:r w:rsidRPr="000F0B72">
        <w:rPr>
          <w:rFonts w:asciiTheme="majorBidi" w:eastAsia="Palatino Linotype" w:hAnsiTheme="majorBidi" w:cstheme="majorBidi"/>
          <w:sz w:val="24"/>
          <w:szCs w:val="24"/>
        </w:rPr>
        <w:t>RoLSIS</w:t>
      </w:r>
      <w:proofErr w:type="spellEnd"/>
      <w:r w:rsidRPr="000F0B72">
        <w:rPr>
          <w:rFonts w:asciiTheme="majorBidi" w:eastAsia="Palatino Linotype" w:hAnsiTheme="majorBidi" w:cstheme="majorBidi"/>
          <w:sz w:val="24"/>
          <w:szCs w:val="24"/>
        </w:rPr>
        <w:t xml:space="preserve"> will be responsible to handle this aspect during an activity being organized by HRD to review the Victims and Witnesses protection on 4 November 2025. </w:t>
      </w:r>
    </w:p>
    <w:sectPr w:rsidR="000F0B72" w:rsidRPr="005548CE"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5FA05" w14:textId="77777777" w:rsidR="00A22A74" w:rsidRDefault="00A22A74" w:rsidP="004C4101">
      <w:pPr>
        <w:spacing w:after="0" w:line="240" w:lineRule="auto"/>
      </w:pPr>
      <w:r>
        <w:separator/>
      </w:r>
    </w:p>
  </w:endnote>
  <w:endnote w:type="continuationSeparator" w:id="0">
    <w:p w14:paraId="46FAD041" w14:textId="77777777" w:rsidR="00A22A74" w:rsidRDefault="00A22A7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6B32A79"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0F0B72">
          <w:rPr>
            <w:rFonts w:ascii="Times New Roman" w:hAnsi="Times New Roman" w:cs="Times New Roman"/>
            <w:color w:val="0070C0"/>
            <w:sz w:val="20"/>
            <w:szCs w:val="20"/>
          </w:rPr>
          <w:t>101</w:t>
        </w:r>
        <w:r w:rsidR="00CA136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AC85" w14:textId="77777777" w:rsidR="00A22A74" w:rsidRDefault="00A22A74" w:rsidP="004C4101">
      <w:pPr>
        <w:spacing w:after="0" w:line="240" w:lineRule="auto"/>
      </w:pPr>
      <w:r>
        <w:separator/>
      </w:r>
    </w:p>
  </w:footnote>
  <w:footnote w:type="continuationSeparator" w:id="0">
    <w:p w14:paraId="0DE8E286" w14:textId="77777777" w:rsidR="00A22A74" w:rsidRDefault="00A22A7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91A2E"/>
    <w:multiLevelType w:val="hybridMultilevel"/>
    <w:tmpl w:val="0620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3"/>
  </w:num>
  <w:num w:numId="3" w16cid:durableId="1713265759">
    <w:abstractNumId w:val="0"/>
  </w:num>
  <w:num w:numId="4" w16cid:durableId="802162705">
    <w:abstractNumId w:val="4"/>
  </w:num>
  <w:num w:numId="5" w16cid:durableId="1092363264">
    <w:abstractNumId w:val="12"/>
  </w:num>
  <w:num w:numId="6" w16cid:durableId="734858615">
    <w:abstractNumId w:val="6"/>
  </w:num>
  <w:num w:numId="7" w16cid:durableId="186795121">
    <w:abstractNumId w:val="13"/>
  </w:num>
  <w:num w:numId="8" w16cid:durableId="1151023901">
    <w:abstractNumId w:val="11"/>
  </w:num>
  <w:num w:numId="9" w16cid:durableId="49310161">
    <w:abstractNumId w:val="14"/>
  </w:num>
  <w:num w:numId="10" w16cid:durableId="540361275">
    <w:abstractNumId w:val="1"/>
  </w:num>
  <w:num w:numId="11" w16cid:durableId="1405254272">
    <w:abstractNumId w:val="17"/>
  </w:num>
  <w:num w:numId="12" w16cid:durableId="746726826">
    <w:abstractNumId w:val="16"/>
  </w:num>
  <w:num w:numId="13" w16cid:durableId="2008433917">
    <w:abstractNumId w:val="7"/>
  </w:num>
  <w:num w:numId="14" w16cid:durableId="1071661601">
    <w:abstractNumId w:val="9"/>
  </w:num>
  <w:num w:numId="15" w16cid:durableId="1199465848">
    <w:abstractNumId w:val="21"/>
  </w:num>
  <w:num w:numId="16" w16cid:durableId="1252660467">
    <w:abstractNumId w:val="18"/>
  </w:num>
  <w:num w:numId="17" w16cid:durableId="610169401">
    <w:abstractNumId w:val="8"/>
  </w:num>
  <w:num w:numId="18" w16cid:durableId="1934047371">
    <w:abstractNumId w:val="15"/>
  </w:num>
  <w:num w:numId="19" w16cid:durableId="1067260545">
    <w:abstractNumId w:val="20"/>
  </w:num>
  <w:num w:numId="20" w16cid:durableId="1938824557">
    <w:abstractNumId w:val="5"/>
  </w:num>
  <w:num w:numId="21" w16cid:durableId="1572274469">
    <w:abstractNumId w:val="2"/>
  </w:num>
  <w:num w:numId="22" w16cid:durableId="1388920052">
    <w:abstractNumId w:val="5"/>
  </w:num>
  <w:num w:numId="23" w16cid:durableId="1622225868">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B7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36D"/>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5CEE"/>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4B65"/>
    <w:rsid w:val="005359C4"/>
    <w:rsid w:val="00536C83"/>
    <w:rsid w:val="00537B6C"/>
    <w:rsid w:val="00537D3D"/>
    <w:rsid w:val="005434E6"/>
    <w:rsid w:val="00544578"/>
    <w:rsid w:val="00545140"/>
    <w:rsid w:val="005453E1"/>
    <w:rsid w:val="005473BE"/>
    <w:rsid w:val="00547FCF"/>
    <w:rsid w:val="0055057F"/>
    <w:rsid w:val="0055118B"/>
    <w:rsid w:val="005548CE"/>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79F"/>
    <w:rsid w:val="00590C50"/>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4A70"/>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476CD"/>
    <w:rsid w:val="00850308"/>
    <w:rsid w:val="0085049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1DA7"/>
    <w:rsid w:val="00985F37"/>
    <w:rsid w:val="00992309"/>
    <w:rsid w:val="009928A8"/>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A74"/>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766E2"/>
    <w:rsid w:val="00A813E1"/>
    <w:rsid w:val="00A84CF6"/>
    <w:rsid w:val="00A85109"/>
    <w:rsid w:val="00A90AAC"/>
    <w:rsid w:val="00A91847"/>
    <w:rsid w:val="00A92352"/>
    <w:rsid w:val="00A929C4"/>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36E"/>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6D2D"/>
    <w:rsid w:val="00E571E0"/>
    <w:rsid w:val="00E57FB3"/>
    <w:rsid w:val="00E60316"/>
    <w:rsid w:val="00E61743"/>
    <w:rsid w:val="00E62022"/>
    <w:rsid w:val="00E62AD9"/>
    <w:rsid w:val="00E63C9C"/>
    <w:rsid w:val="00E673E4"/>
    <w:rsid w:val="00E67C6C"/>
    <w:rsid w:val="00E710F3"/>
    <w:rsid w:val="00E776DF"/>
    <w:rsid w:val="00E82795"/>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2025-11-01T11:41:00Z</dcterms:created>
  <dcterms:modified xsi:type="dcterms:W3CDTF">2025-11-01T11:45:00Z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