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1529410"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761D2DA9"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w:t>
      </w:r>
      <w:r w:rsidR="003B30C8">
        <w:rPr>
          <w:rFonts w:asciiTheme="majorBidi" w:eastAsia="Times New Roman" w:hAnsiTheme="majorBidi" w:cstheme="majorBidi"/>
          <w:b/>
          <w:sz w:val="24"/>
          <w:szCs w:val="24"/>
        </w:rPr>
        <w:t>9</w:t>
      </w:r>
      <w:r>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19192060" w14:textId="66083137" w:rsidR="004B1FD1" w:rsidRPr="003B30C8" w:rsidRDefault="003B30C8" w:rsidP="003B30C8">
      <w:pPr>
        <w:numPr>
          <w:ilvl w:val="0"/>
          <w:numId w:val="16"/>
        </w:numPr>
        <w:spacing w:after="160"/>
        <w:contextualSpacing/>
        <w:jc w:val="both"/>
        <w:rPr>
          <w:rFonts w:ascii="Times New Roman" w:eastAsia="Aptos" w:hAnsi="Times New Roman" w:cs="Times New Roman"/>
          <w:b/>
          <w:bCs/>
          <w:sz w:val="24"/>
          <w:szCs w:val="24"/>
        </w:rPr>
      </w:pPr>
      <w:r w:rsidRPr="003B30C8">
        <w:rPr>
          <w:rFonts w:ascii="Times New Roman" w:eastAsia="Aptos" w:hAnsi="Times New Roman" w:cs="Times New Roman"/>
          <w:b/>
          <w:bCs/>
          <w:sz w:val="24"/>
          <w:szCs w:val="24"/>
        </w:rPr>
        <w:t xml:space="preserve">HRD attended the third court hearing </w:t>
      </w:r>
      <w:r>
        <w:rPr>
          <w:rFonts w:ascii="Times New Roman" w:eastAsia="Aptos" w:hAnsi="Times New Roman" w:cs="Times New Roman"/>
          <w:b/>
          <w:bCs/>
          <w:sz w:val="24"/>
          <w:szCs w:val="24"/>
        </w:rPr>
        <w:t xml:space="preserve">case of </w:t>
      </w:r>
      <w:r w:rsidRPr="003B30C8">
        <w:rPr>
          <w:rFonts w:ascii="Times New Roman" w:eastAsia="Aptos" w:hAnsi="Times New Roman" w:cs="Times New Roman"/>
          <w:b/>
          <w:bCs/>
          <w:sz w:val="24"/>
          <w:szCs w:val="24"/>
        </w:rPr>
        <w:t>gang rape of a 16-year-old Dinka girl by a group of ten boys at Juba National prison high court.</w:t>
      </w:r>
      <w:r w:rsidR="004B1FD1" w:rsidRPr="003B30C8">
        <w:rPr>
          <w:rFonts w:asciiTheme="majorBidi" w:hAnsiTheme="majorBidi" w:cstheme="majorBidi"/>
          <w:b/>
          <w:bCs/>
          <w:sz w:val="24"/>
          <w:szCs w:val="24"/>
        </w:rPr>
        <w:tab/>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46EA428" w14:textId="6ACD7415" w:rsidR="00B41038" w:rsidRDefault="00874A46" w:rsidP="00B96DD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6CEF74F3" w14:textId="77777777" w:rsidR="003B30C8" w:rsidRDefault="003B30C8" w:rsidP="003B30C8">
      <w:pPr>
        <w:spacing w:after="0"/>
        <w:jc w:val="both"/>
        <w:rPr>
          <w:rFonts w:asciiTheme="majorBidi" w:eastAsia="Palatino Linotype" w:hAnsiTheme="majorBidi" w:cstheme="majorBidi"/>
          <w:b/>
          <w:sz w:val="24"/>
          <w:szCs w:val="24"/>
        </w:rPr>
      </w:pPr>
    </w:p>
    <w:p w14:paraId="3BFA1426" w14:textId="689A27AA" w:rsidR="003B30C8" w:rsidRPr="003B30C8" w:rsidRDefault="003B30C8" w:rsidP="003B30C8">
      <w:pPr>
        <w:numPr>
          <w:ilvl w:val="0"/>
          <w:numId w:val="16"/>
        </w:numPr>
        <w:spacing w:after="160"/>
        <w:contextualSpacing/>
        <w:jc w:val="both"/>
        <w:rPr>
          <w:rFonts w:ascii="Times New Roman" w:eastAsia="Aptos" w:hAnsi="Times New Roman" w:cs="Times New Roman"/>
          <w:b/>
          <w:bCs/>
          <w:sz w:val="24"/>
          <w:szCs w:val="24"/>
        </w:rPr>
      </w:pPr>
      <w:bookmarkStart w:id="4" w:name="_Hlk210231222"/>
      <w:r w:rsidRPr="003B30C8">
        <w:rPr>
          <w:rFonts w:ascii="Times New Roman" w:eastAsia="Aptos" w:hAnsi="Times New Roman" w:cs="Times New Roman"/>
          <w:b/>
          <w:bCs/>
          <w:sz w:val="24"/>
          <w:szCs w:val="24"/>
        </w:rPr>
        <w:t xml:space="preserve">HRD attended the third court hearing </w:t>
      </w:r>
      <w:r>
        <w:rPr>
          <w:rFonts w:ascii="Times New Roman" w:eastAsia="Aptos" w:hAnsi="Times New Roman" w:cs="Times New Roman"/>
          <w:b/>
          <w:bCs/>
          <w:sz w:val="24"/>
          <w:szCs w:val="24"/>
        </w:rPr>
        <w:t xml:space="preserve">case of </w:t>
      </w:r>
      <w:r w:rsidRPr="003B30C8">
        <w:rPr>
          <w:rFonts w:ascii="Times New Roman" w:eastAsia="Aptos" w:hAnsi="Times New Roman" w:cs="Times New Roman"/>
          <w:b/>
          <w:bCs/>
          <w:sz w:val="24"/>
          <w:szCs w:val="24"/>
        </w:rPr>
        <w:t>gang rape of a 16-year-old Dinka girl by a group of ten boys at Juba National prison high court.</w:t>
      </w:r>
    </w:p>
    <w:bookmarkEnd w:id="4"/>
    <w:p w14:paraId="5431CF2B" w14:textId="28ECA481" w:rsidR="003B30C8" w:rsidRPr="003B30C8" w:rsidRDefault="003B30C8" w:rsidP="003B30C8">
      <w:pPr>
        <w:spacing w:before="100" w:beforeAutospacing="1" w:after="100" w:afterAutospacing="1"/>
        <w:jc w:val="both"/>
        <w:rPr>
          <w:rFonts w:ascii="Times New Roman" w:eastAsia="Times New Roman" w:hAnsi="Times New Roman" w:cs="Times New Roman"/>
          <w:sz w:val="24"/>
          <w:szCs w:val="24"/>
        </w:rPr>
      </w:pPr>
      <w:r w:rsidRPr="003B30C8">
        <w:rPr>
          <w:rFonts w:ascii="Times New Roman" w:eastAsia="Times New Roman" w:hAnsi="Times New Roman" w:cs="Times New Roman"/>
          <w:sz w:val="24"/>
          <w:szCs w:val="24"/>
        </w:rPr>
        <w:t>On 09 October 2025, HRD FOJ attended the third court hearing at the Juba National Prison High Court concerning the gang rape of a 16-year-old Dinka girl, which occurred on 19 June 2025. The victim was reportedly abducted and sexually assaulted by a group of ten boys. A video of the incident was circulated on Facebook, sparking widespread public outrage.</w:t>
      </w:r>
      <w:r>
        <w:rPr>
          <w:rFonts w:ascii="Times New Roman" w:eastAsia="Times New Roman" w:hAnsi="Times New Roman" w:cs="Times New Roman"/>
          <w:sz w:val="24"/>
          <w:szCs w:val="24"/>
        </w:rPr>
        <w:t xml:space="preserve"> </w:t>
      </w:r>
      <w:r w:rsidRPr="003B30C8">
        <w:rPr>
          <w:rFonts w:ascii="Times New Roman" w:eastAsia="Times New Roman" w:hAnsi="Times New Roman" w:cs="Times New Roman"/>
          <w:sz w:val="24"/>
          <w:szCs w:val="24"/>
        </w:rPr>
        <w:t>Eight of the accused were present in court; two have been released following investigations, while others remain at large. Both parties were represented by their legal representatives.</w:t>
      </w:r>
    </w:p>
    <w:p w14:paraId="1EB017DF" w14:textId="6B181867" w:rsidR="003B30C8" w:rsidRPr="003B30C8" w:rsidRDefault="003B30C8" w:rsidP="003B30C8">
      <w:pPr>
        <w:spacing w:before="100" w:beforeAutospacing="1" w:after="100" w:afterAutospacing="1"/>
        <w:jc w:val="both"/>
        <w:rPr>
          <w:rFonts w:ascii="Times New Roman" w:eastAsia="Times New Roman" w:hAnsi="Times New Roman" w:cs="Times New Roman"/>
          <w:sz w:val="24"/>
          <w:szCs w:val="24"/>
        </w:rPr>
      </w:pPr>
      <w:r w:rsidRPr="003B30C8">
        <w:rPr>
          <w:rFonts w:ascii="Times New Roman" w:eastAsia="Times New Roman" w:hAnsi="Times New Roman" w:cs="Times New Roman"/>
          <w:sz w:val="24"/>
          <w:szCs w:val="24"/>
        </w:rPr>
        <w:t>The session was scheduled for the prosecution to conduct the examination-in-chief of the lead investigator. Before the video evidence was presented, the presiding judge ordered the public to leave the courtroom, allowing only the defense and the prosecution team to remain. He explained that the footage contained sensitive material that was not suitable for public viewing. After the video was shown, the public was readmitted for the remainder of the session.</w:t>
      </w:r>
      <w:r>
        <w:rPr>
          <w:rFonts w:ascii="Times New Roman" w:eastAsia="Times New Roman" w:hAnsi="Times New Roman" w:cs="Times New Roman"/>
          <w:sz w:val="24"/>
          <w:szCs w:val="24"/>
        </w:rPr>
        <w:t xml:space="preserve"> </w:t>
      </w:r>
      <w:r w:rsidRPr="003B30C8">
        <w:rPr>
          <w:rFonts w:ascii="Times New Roman" w:eastAsia="Times New Roman" w:hAnsi="Times New Roman" w:cs="Times New Roman"/>
          <w:sz w:val="24"/>
          <w:szCs w:val="24"/>
        </w:rPr>
        <w:t>During his testimony, the investigator stated that the case was reported on 25 June 2025 at the Eastern Police Division. Statements were recorded from both the complainant and the victim. Ten suspects were initially arrested; two were released, and eight were formally charged. Some suspects are still at large. The investigator confirmed that judicial confessions were made by some of the accused in front of a judge.</w:t>
      </w:r>
    </w:p>
    <w:p w14:paraId="17C4E8BD" w14:textId="727C489D" w:rsidR="003B30C8" w:rsidRPr="003B30C8" w:rsidRDefault="003B30C8" w:rsidP="003B30C8">
      <w:pPr>
        <w:spacing w:before="100" w:beforeAutospacing="1" w:after="100" w:afterAutospacing="1"/>
        <w:jc w:val="both"/>
        <w:rPr>
          <w:rFonts w:ascii="Times New Roman" w:eastAsia="Times New Roman" w:hAnsi="Times New Roman" w:cs="Times New Roman"/>
          <w:sz w:val="24"/>
          <w:szCs w:val="24"/>
        </w:rPr>
      </w:pPr>
      <w:r w:rsidRPr="003B30C8">
        <w:rPr>
          <w:rFonts w:ascii="Times New Roman" w:eastAsia="Times New Roman" w:hAnsi="Times New Roman" w:cs="Times New Roman"/>
          <w:sz w:val="24"/>
          <w:szCs w:val="24"/>
        </w:rPr>
        <w:lastRenderedPageBreak/>
        <w:t>The defense team then cross-examined the investigator, raising questions about the nature of the relationship between the victim and the first accused, whether the victim had voluntarily gone to the place of the incident with the first accused, and whether some suspects were arrested due to gang affiliations rather than direct involvement in the rape. They also questioned the victim’s mental health and her ability to identify the perpetrators.</w:t>
      </w:r>
      <w:r>
        <w:rPr>
          <w:rFonts w:ascii="Times New Roman" w:eastAsia="Times New Roman" w:hAnsi="Times New Roman" w:cs="Times New Roman"/>
          <w:sz w:val="24"/>
          <w:szCs w:val="24"/>
        </w:rPr>
        <w:t xml:space="preserve"> </w:t>
      </w:r>
      <w:r w:rsidRPr="003B30C8">
        <w:rPr>
          <w:rFonts w:ascii="Times New Roman" w:eastAsia="Times New Roman" w:hAnsi="Times New Roman" w:cs="Times New Roman"/>
          <w:sz w:val="24"/>
          <w:szCs w:val="24"/>
        </w:rPr>
        <w:t xml:space="preserve">A brief re-examination followed to clarify points that were not fully addressed during the initial questioning. The </w:t>
      </w:r>
      <w:r w:rsidRPr="003B30C8">
        <w:rPr>
          <w:rFonts w:ascii="Times New Roman" w:eastAsia="Times New Roman" w:hAnsi="Times New Roman" w:cs="Times New Roman"/>
          <w:sz w:val="24"/>
          <w:szCs w:val="24"/>
        </w:rPr>
        <w:t>judge who</w:t>
      </w:r>
      <w:r w:rsidRPr="003B30C8">
        <w:rPr>
          <w:rFonts w:ascii="Times New Roman" w:eastAsia="Times New Roman" w:hAnsi="Times New Roman" w:cs="Times New Roman"/>
          <w:sz w:val="24"/>
          <w:szCs w:val="24"/>
        </w:rPr>
        <w:t xml:space="preserve"> was expected to question the investigator, stated that he was satisfied with the inquiries made by both sides. </w:t>
      </w:r>
    </w:p>
    <w:p w14:paraId="25F9F7D8" w14:textId="7B69DD53" w:rsidR="003B30C8" w:rsidRPr="003B30C8" w:rsidRDefault="003B30C8" w:rsidP="003B30C8">
      <w:pPr>
        <w:spacing w:before="100" w:beforeAutospacing="1" w:after="100" w:afterAutospacing="1"/>
        <w:jc w:val="both"/>
        <w:rPr>
          <w:rFonts w:ascii="Times New Roman" w:eastAsia="Times New Roman" w:hAnsi="Times New Roman" w:cs="Times New Roman"/>
          <w:i/>
          <w:iCs/>
          <w:sz w:val="24"/>
          <w:szCs w:val="24"/>
        </w:rPr>
      </w:pPr>
      <w:r w:rsidRPr="003B30C8">
        <w:rPr>
          <w:rFonts w:ascii="Times New Roman" w:eastAsia="Times New Roman" w:hAnsi="Times New Roman" w:cs="Times New Roman"/>
          <w:b/>
          <w:bCs/>
          <w:i/>
          <w:iCs/>
          <w:sz w:val="24"/>
          <w:szCs w:val="24"/>
        </w:rPr>
        <w:t>Comment:</w:t>
      </w:r>
      <w:r w:rsidRPr="003B30C8">
        <w:rPr>
          <w:rFonts w:ascii="Times New Roman" w:eastAsia="Times New Roman" w:hAnsi="Times New Roman" w:cs="Times New Roman"/>
          <w:i/>
          <w:iCs/>
          <w:sz w:val="24"/>
          <w:szCs w:val="24"/>
        </w:rPr>
        <w:br/>
        <w:t>The session was emotionally intense, particularly during the defense’s cross-examination. Nonetheless, the court upheld procedural fairness, allowing both parties to present their arguments.</w:t>
      </w:r>
      <w:r w:rsidRPr="003B30C8">
        <w:rPr>
          <w:rFonts w:ascii="Times New Roman" w:eastAsia="Times New Roman" w:hAnsi="Times New Roman" w:cs="Times New Roman"/>
          <w:sz w:val="24"/>
          <w:szCs w:val="24"/>
        </w:rPr>
        <w:t xml:space="preserve"> </w:t>
      </w:r>
      <w:r w:rsidRPr="003B30C8">
        <w:rPr>
          <w:rFonts w:ascii="Times New Roman" w:eastAsia="Times New Roman" w:hAnsi="Times New Roman" w:cs="Times New Roman"/>
          <w:i/>
          <w:iCs/>
          <w:sz w:val="24"/>
          <w:szCs w:val="24"/>
        </w:rPr>
        <w:t>The next hearing is scheduled for 16 October 2025 at 10:00 AM, during which the court will hear testimonies from the complainant and the victim.</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53740B82" w14:textId="7E16B5E6" w:rsidR="00E435B7" w:rsidRPr="003B30C8" w:rsidRDefault="00F64818" w:rsidP="003B30C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43C0DA8" w14:textId="77777777" w:rsidR="004B1FD1" w:rsidRPr="00B55EB3" w:rsidRDefault="004B1FD1" w:rsidP="00B55EB3">
      <w:pPr>
        <w:spacing w:after="0"/>
        <w:jc w:val="both"/>
        <w:rPr>
          <w:rFonts w:asciiTheme="majorBidi" w:eastAsia="Palatino Linotype" w:hAnsiTheme="majorBidi" w:cstheme="majorBidi"/>
          <w:bCs/>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8A1E" w14:textId="77777777" w:rsidR="00F37398" w:rsidRDefault="00F37398" w:rsidP="00182875">
      <w:pPr>
        <w:spacing w:after="0" w:line="240" w:lineRule="auto"/>
      </w:pPr>
      <w:r>
        <w:separator/>
      </w:r>
    </w:p>
  </w:endnote>
  <w:endnote w:type="continuationSeparator" w:id="0">
    <w:p w14:paraId="2E7D83F9" w14:textId="77777777" w:rsidR="00F37398" w:rsidRDefault="00F3739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0828B8C"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w:t>
        </w:r>
        <w:r w:rsidR="003B30C8">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7429" w14:textId="77777777" w:rsidR="00F37398" w:rsidRDefault="00F37398" w:rsidP="00182875">
      <w:pPr>
        <w:spacing w:after="0" w:line="240" w:lineRule="auto"/>
      </w:pPr>
      <w:r>
        <w:separator/>
      </w:r>
    </w:p>
  </w:footnote>
  <w:footnote w:type="continuationSeparator" w:id="0">
    <w:p w14:paraId="52440304" w14:textId="77777777" w:rsidR="00F37398" w:rsidRDefault="00F3739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2"/>
  </w:num>
  <w:num w:numId="2" w16cid:durableId="1290747775">
    <w:abstractNumId w:val="6"/>
  </w:num>
  <w:num w:numId="3" w16cid:durableId="1434126653">
    <w:abstractNumId w:val="2"/>
  </w:num>
  <w:num w:numId="4" w16cid:durableId="343021440">
    <w:abstractNumId w:val="9"/>
  </w:num>
  <w:num w:numId="5" w16cid:durableId="1697924979">
    <w:abstractNumId w:val="10"/>
  </w:num>
  <w:num w:numId="6" w16cid:durableId="1953436510">
    <w:abstractNumId w:val="4"/>
  </w:num>
  <w:num w:numId="7" w16cid:durableId="1220239112">
    <w:abstractNumId w:val="0"/>
  </w:num>
  <w:num w:numId="8" w16cid:durableId="1047072810">
    <w:abstractNumId w:val="7"/>
  </w:num>
  <w:num w:numId="9" w16cid:durableId="2055887574">
    <w:abstractNumId w:val="14"/>
  </w:num>
  <w:num w:numId="10" w16cid:durableId="506139602">
    <w:abstractNumId w:val="1"/>
  </w:num>
  <w:num w:numId="11" w16cid:durableId="652830635">
    <w:abstractNumId w:val="11"/>
  </w:num>
  <w:num w:numId="12" w16cid:durableId="579365373">
    <w:abstractNumId w:val="13"/>
  </w:num>
  <w:num w:numId="13" w16cid:durableId="1409769973">
    <w:abstractNumId w:val="8"/>
    <w:lvlOverride w:ilvl="0"/>
    <w:lvlOverride w:ilvl="1"/>
    <w:lvlOverride w:ilvl="2"/>
    <w:lvlOverride w:ilvl="3"/>
    <w:lvlOverride w:ilvl="4"/>
    <w:lvlOverride w:ilvl="5"/>
    <w:lvlOverride w:ilvl="6"/>
    <w:lvlOverride w:ilvl="7"/>
    <w:lvlOverride w:ilvl="8"/>
  </w:num>
  <w:num w:numId="14" w16cid:durableId="695041880">
    <w:abstractNumId w:val="3"/>
  </w:num>
  <w:num w:numId="15" w16cid:durableId="672755730">
    <w:abstractNumId w:val="5"/>
  </w:num>
  <w:num w:numId="16" w16cid:durableId="279453763">
    <w:abstractNumId w:val="13"/>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37398"/>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2025-10-09T13:37:00Z</dcterms:created>
  <dcterms:modified xsi:type="dcterms:W3CDTF">2025-10-09T13:37:00Z</dcterms:modified>
</cp:coreProperties>
</file>