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1824936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4CDCA0C6" w:rsidR="00C86453" w:rsidRPr="00FE5EC5" w:rsidRDefault="00C86453" w:rsidP="00C86453">
      <w:pPr>
        <w:spacing w:after="0" w:line="240" w:lineRule="auto"/>
        <w:jc w:val="center"/>
        <w:rPr>
          <w:rFonts w:ascii="Times New Roman" w:eastAsia="Times New Roman" w:hAnsi="Times New Roman" w:cs="Times New Roman"/>
          <w:b/>
          <w:sz w:val="24"/>
          <w:szCs w:val="24"/>
        </w:rPr>
      </w:pPr>
      <w:r w:rsidRPr="00870305">
        <w:rPr>
          <w:rFonts w:ascii="Times New Roman" w:eastAsia="Times New Roman" w:hAnsi="Times New Roman" w:cs="Times New Roman"/>
          <w:b/>
          <w:color w:val="0070C0"/>
          <w:sz w:val="24"/>
          <w:szCs w:val="24"/>
        </w:rPr>
        <w:t>Date (</w:t>
      </w:r>
      <w:r w:rsidR="00284492">
        <w:rPr>
          <w:rFonts w:ascii="Times New Roman" w:eastAsia="Times New Roman" w:hAnsi="Times New Roman" w:cs="Times New Roman"/>
          <w:b/>
          <w:i/>
          <w:iCs/>
          <w:color w:val="0070C0"/>
          <w:sz w:val="24"/>
          <w:szCs w:val="24"/>
        </w:rPr>
        <w:t>01</w:t>
      </w:r>
      <w:r w:rsidRPr="00870305">
        <w:rPr>
          <w:rFonts w:ascii="Times New Roman" w:eastAsia="Times New Roman" w:hAnsi="Times New Roman" w:cs="Times New Roman"/>
          <w:b/>
          <w:i/>
          <w:iCs/>
          <w:color w:val="0070C0"/>
          <w:sz w:val="24"/>
          <w:szCs w:val="24"/>
        </w:rPr>
        <w:t>/</w:t>
      </w:r>
      <w:r w:rsidR="00B53237">
        <w:rPr>
          <w:rFonts w:ascii="Times New Roman" w:eastAsia="Times New Roman" w:hAnsi="Times New Roman" w:cs="Times New Roman"/>
          <w:b/>
          <w:i/>
          <w:iCs/>
          <w:color w:val="0070C0"/>
          <w:sz w:val="24"/>
          <w:szCs w:val="24"/>
        </w:rPr>
        <w:t>0</w:t>
      </w:r>
      <w:r w:rsidR="00284492">
        <w:rPr>
          <w:rFonts w:ascii="Times New Roman" w:eastAsia="Times New Roman" w:hAnsi="Times New Roman" w:cs="Times New Roman"/>
          <w:b/>
          <w:i/>
          <w:iCs/>
          <w:color w:val="0070C0"/>
          <w:sz w:val="24"/>
          <w:szCs w:val="24"/>
        </w:rPr>
        <w:t>9</w:t>
      </w:r>
      <w:r w:rsidRPr="00870305">
        <w:rPr>
          <w:rFonts w:ascii="Times New Roman" w:eastAsia="Times New Roman" w:hAnsi="Times New Roman" w:cs="Times New Roman"/>
          <w:b/>
          <w:i/>
          <w:iCs/>
          <w:color w:val="0070C0"/>
          <w:sz w:val="24"/>
          <w:szCs w:val="24"/>
        </w:rPr>
        <w:t>/</w:t>
      </w:r>
      <w:r w:rsidR="00AA186A">
        <w:rPr>
          <w:rFonts w:ascii="Times New Roman" w:eastAsia="Times New Roman" w:hAnsi="Times New Roman" w:cs="Times New Roman"/>
          <w:b/>
          <w:i/>
          <w:iCs/>
          <w:color w:val="0070C0"/>
          <w:sz w:val="24"/>
          <w:szCs w:val="24"/>
        </w:rPr>
        <w:t>202</w:t>
      </w:r>
      <w:r w:rsidR="006209AF">
        <w:rPr>
          <w:rFonts w:ascii="Times New Roman" w:eastAsia="Times New Roman" w:hAnsi="Times New Roman" w:cs="Times New Roman"/>
          <w:b/>
          <w:i/>
          <w:iCs/>
          <w:color w:val="0070C0"/>
          <w:sz w:val="24"/>
          <w:szCs w:val="24"/>
        </w:rPr>
        <w:t>5</w:t>
      </w:r>
      <w:r>
        <w:rPr>
          <w:rFonts w:ascii="Times New Roman" w:eastAsia="Times New Roman" w:hAnsi="Times New Roman" w:cs="Times New Roman"/>
          <w:b/>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51CE5F7F" w:rsidR="0073537D" w:rsidRDefault="00FB06AB" w:rsidP="00890DC1">
      <w:pPr>
        <w:pStyle w:val="ListParagraph"/>
        <w:numPr>
          <w:ilvl w:val="0"/>
          <w:numId w:val="24"/>
        </w:numPr>
        <w:jc w:val="both"/>
        <w:rPr>
          <w:rFonts w:asciiTheme="majorBidi" w:hAnsiTheme="majorBidi" w:cstheme="majorBidi"/>
          <w:i/>
          <w:iCs/>
          <w:sz w:val="24"/>
          <w:szCs w:val="24"/>
        </w:rPr>
      </w:pPr>
      <w:bookmarkStart w:id="0" w:name="_Hlk163836907"/>
      <w:r w:rsidRPr="00FB06AB">
        <w:rPr>
          <w:rFonts w:asciiTheme="majorBidi" w:hAnsiTheme="majorBidi" w:cstheme="majorBidi"/>
          <w:i/>
          <w:iCs/>
          <w:sz w:val="24"/>
          <w:szCs w:val="24"/>
        </w:rPr>
        <w:t xml:space="preserve">HRD </w:t>
      </w:r>
      <w:r>
        <w:rPr>
          <w:rFonts w:asciiTheme="majorBidi" w:hAnsiTheme="majorBidi" w:cstheme="majorBidi"/>
          <w:i/>
          <w:iCs/>
          <w:sz w:val="24"/>
          <w:szCs w:val="24"/>
        </w:rPr>
        <w:t>d</w:t>
      </w:r>
      <w:r w:rsidRPr="00FB06AB">
        <w:rPr>
          <w:rFonts w:asciiTheme="majorBidi" w:hAnsiTheme="majorBidi" w:cstheme="majorBidi"/>
          <w:i/>
          <w:iCs/>
          <w:sz w:val="24"/>
          <w:szCs w:val="24"/>
        </w:rPr>
        <w:t>ocuments Intercommunal Killings in Ulang County and Military Attacks on Tonga, Panyikang County</w:t>
      </w:r>
      <w:r w:rsidRPr="00FB06AB">
        <w:rPr>
          <w:rFonts w:asciiTheme="majorBidi" w:hAnsiTheme="majorBidi" w:cstheme="majorBidi"/>
          <w:i/>
          <w:iCs/>
          <w:sz w:val="24"/>
          <w:szCs w:val="24"/>
        </w:rPr>
        <w:t xml:space="preserve"> </w:t>
      </w:r>
    </w:p>
    <w:p w14:paraId="445C373A" w14:textId="76C60682" w:rsidR="00B36DB4" w:rsidRPr="00B36DB4" w:rsidRDefault="00B36DB4" w:rsidP="00B36DB4">
      <w:pPr>
        <w:pStyle w:val="ListParagraph"/>
        <w:numPr>
          <w:ilvl w:val="0"/>
          <w:numId w:val="24"/>
        </w:numPr>
        <w:spacing w:after="0" w:line="240" w:lineRule="auto"/>
        <w:jc w:val="both"/>
        <w:rPr>
          <w:rFonts w:asciiTheme="majorBidi" w:eastAsia="Palatino Linotype" w:hAnsiTheme="majorBidi" w:cstheme="majorBidi"/>
          <w:i/>
          <w:iCs/>
          <w:sz w:val="24"/>
          <w:szCs w:val="24"/>
        </w:rPr>
      </w:pPr>
      <w:r w:rsidRPr="00B36DB4">
        <w:rPr>
          <w:rFonts w:asciiTheme="majorBidi" w:hAnsiTheme="majorBidi" w:cstheme="majorBidi"/>
          <w:i/>
          <w:iCs/>
          <w:sz w:val="24"/>
          <w:szCs w:val="24"/>
        </w:rPr>
        <w:t xml:space="preserve">HRD Participates in </w:t>
      </w:r>
      <w:r w:rsidR="00284492">
        <w:rPr>
          <w:rFonts w:asciiTheme="majorBidi" w:hAnsiTheme="majorBidi" w:cstheme="majorBidi"/>
          <w:i/>
          <w:iCs/>
          <w:sz w:val="24"/>
          <w:szCs w:val="24"/>
        </w:rPr>
        <w:t xml:space="preserve">the </w:t>
      </w:r>
      <w:r w:rsidRPr="00B36DB4">
        <w:rPr>
          <w:rFonts w:asciiTheme="majorBidi" w:hAnsiTheme="majorBidi" w:cstheme="majorBidi"/>
          <w:i/>
          <w:iCs/>
          <w:sz w:val="24"/>
          <w:szCs w:val="24"/>
        </w:rPr>
        <w:t>Upper Nile Rule of Law Forum to Strengthen Judicial Processes and Access to Justice</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B800E37" w:rsidR="00F64818" w:rsidRPr="00FB06AB" w:rsidRDefault="00F64818" w:rsidP="00FB06AB">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FB06AB">
        <w:rPr>
          <w:rFonts w:ascii="Times New Roman" w:eastAsia="Palatino Linotype" w:hAnsi="Times New Roman" w:cs="Times New Roman"/>
          <w:b/>
          <w:sz w:val="24"/>
          <w:szCs w:val="24"/>
        </w:rPr>
        <w:t>–</w:t>
      </w:r>
    </w:p>
    <w:p w14:paraId="4EB245FC" w14:textId="77777777" w:rsidR="00FB06AB" w:rsidRDefault="00FB06AB" w:rsidP="00FB06AB">
      <w:pPr>
        <w:spacing w:after="0"/>
        <w:jc w:val="both"/>
        <w:rPr>
          <w:rFonts w:asciiTheme="majorBidi" w:hAnsiTheme="majorBidi" w:cstheme="majorBidi"/>
          <w:i/>
          <w:iCs/>
          <w:sz w:val="24"/>
          <w:szCs w:val="24"/>
        </w:rPr>
      </w:pPr>
    </w:p>
    <w:p w14:paraId="58F9C9DD" w14:textId="4F3EC15F" w:rsidR="00FB06AB" w:rsidRPr="00B36DB4" w:rsidRDefault="00FB06AB" w:rsidP="00B36DB4">
      <w:pPr>
        <w:pStyle w:val="ListParagraph"/>
        <w:numPr>
          <w:ilvl w:val="0"/>
          <w:numId w:val="24"/>
        </w:numPr>
        <w:spacing w:after="0"/>
        <w:jc w:val="both"/>
        <w:rPr>
          <w:rFonts w:asciiTheme="majorBidi" w:hAnsiTheme="majorBidi" w:cstheme="majorBidi"/>
          <w:b/>
          <w:bCs/>
          <w:i/>
          <w:iCs/>
          <w:sz w:val="24"/>
          <w:szCs w:val="24"/>
        </w:rPr>
      </w:pPr>
      <w:r w:rsidRPr="00B36DB4">
        <w:rPr>
          <w:rFonts w:asciiTheme="majorBidi" w:hAnsiTheme="majorBidi" w:cstheme="majorBidi"/>
          <w:b/>
          <w:bCs/>
          <w:i/>
          <w:iCs/>
          <w:sz w:val="24"/>
          <w:szCs w:val="24"/>
        </w:rPr>
        <w:t>HRD documents Intercommunal Killings in Ulang County and Military Attacks on Tonga, Panyikang County</w:t>
      </w:r>
      <w:r w:rsidRPr="00B36DB4">
        <w:rPr>
          <w:rFonts w:asciiTheme="majorBidi" w:hAnsiTheme="majorBidi" w:cstheme="majorBidi"/>
          <w:b/>
          <w:bCs/>
          <w:i/>
          <w:iCs/>
          <w:sz w:val="24"/>
          <w:szCs w:val="24"/>
        </w:rPr>
        <w:t>.</w:t>
      </w:r>
    </w:p>
    <w:p w14:paraId="7D1BC599" w14:textId="5E62FED3" w:rsidR="00FB06AB" w:rsidRPr="00284492" w:rsidRDefault="00FB06AB" w:rsidP="00B36DB4">
      <w:pPr>
        <w:pStyle w:val="NormalWeb"/>
        <w:jc w:val="both"/>
        <w:rPr>
          <w:rFonts w:asciiTheme="majorBidi" w:hAnsiTheme="majorBidi" w:cstheme="majorBidi"/>
        </w:rPr>
      </w:pPr>
      <w:r w:rsidRPr="00284492">
        <w:rPr>
          <w:rFonts w:asciiTheme="majorBidi" w:hAnsiTheme="majorBidi" w:cstheme="majorBidi"/>
        </w:rPr>
        <w:t>On 29 August 2025, an incident of intercommunal violence occurred in Manikauach</w:t>
      </w:r>
      <w:r w:rsidRPr="00284492">
        <w:rPr>
          <w:rFonts w:asciiTheme="majorBidi" w:hAnsiTheme="majorBidi" w:cstheme="majorBidi"/>
        </w:rPr>
        <w:t xml:space="preserve"> </w:t>
      </w:r>
      <w:r w:rsidRPr="00284492">
        <w:rPr>
          <w:rFonts w:asciiTheme="majorBidi" w:hAnsiTheme="majorBidi" w:cstheme="majorBidi"/>
        </w:rPr>
        <w:t>village, Doma Payam, Ulang County. According to information later verified by</w:t>
      </w:r>
      <w:r w:rsidRPr="00284492">
        <w:rPr>
          <w:rFonts w:asciiTheme="majorBidi" w:hAnsiTheme="majorBidi" w:cstheme="majorBidi"/>
        </w:rPr>
        <w:t xml:space="preserve"> </w:t>
      </w:r>
      <w:r w:rsidRPr="00284492">
        <w:rPr>
          <w:rFonts w:asciiTheme="majorBidi" w:hAnsiTheme="majorBidi" w:cstheme="majorBidi"/>
        </w:rPr>
        <w:t>HRD</w:t>
      </w:r>
      <w:r w:rsidRPr="00284492">
        <w:rPr>
          <w:rFonts w:asciiTheme="majorBidi" w:hAnsiTheme="majorBidi" w:cstheme="majorBidi"/>
        </w:rPr>
        <w:t xml:space="preserve"> on 01 September 2025</w:t>
      </w:r>
      <w:r w:rsidRPr="00284492">
        <w:rPr>
          <w:rFonts w:asciiTheme="majorBidi" w:hAnsiTheme="majorBidi" w:cstheme="majorBidi"/>
        </w:rPr>
        <w:t xml:space="preserve"> through secondary sources, armed youth from the Ngok Dinka community carried out an attack on</w:t>
      </w:r>
      <w:r w:rsidRPr="00284492">
        <w:rPr>
          <w:rFonts w:asciiTheme="majorBidi" w:hAnsiTheme="majorBidi" w:cstheme="majorBidi"/>
        </w:rPr>
        <w:t xml:space="preserve"> </w:t>
      </w:r>
      <w:r w:rsidRPr="00284492">
        <w:rPr>
          <w:rFonts w:asciiTheme="majorBidi" w:hAnsiTheme="majorBidi" w:cstheme="majorBidi"/>
        </w:rPr>
        <w:t>Manikauach village. The a</w:t>
      </w:r>
      <w:r w:rsidRPr="00284492">
        <w:rPr>
          <w:rFonts w:asciiTheme="majorBidi" w:hAnsiTheme="majorBidi" w:cstheme="majorBidi"/>
        </w:rPr>
        <w:t>ttack</w:t>
      </w:r>
      <w:r w:rsidRPr="00284492">
        <w:rPr>
          <w:rFonts w:asciiTheme="majorBidi" w:hAnsiTheme="majorBidi" w:cstheme="majorBidi"/>
        </w:rPr>
        <w:t xml:space="preserve"> resulted in the death of three civilians and left six others injured. Among those injured were one young child, approximately two years of age, four women, and one man. Preliminary findings indicate that the attack was retaliatory in nature, following an earlier incident in mid-August in which Nuer youth from Ulang County reportedly raided about 800 heads of cattle from the Ngok Dinka. This cycle of revenge attacks continues to expose civilians, particularly women and children, to grave risks of harm.</w:t>
      </w:r>
    </w:p>
    <w:p w14:paraId="2D78847B" w14:textId="7FF5FAFF" w:rsidR="00FB06AB" w:rsidRPr="00284492" w:rsidRDefault="00FB06AB" w:rsidP="00B36DB4">
      <w:pPr>
        <w:pStyle w:val="NormalWeb"/>
        <w:jc w:val="both"/>
        <w:rPr>
          <w:rFonts w:asciiTheme="majorBidi" w:hAnsiTheme="majorBidi" w:cstheme="majorBidi"/>
        </w:rPr>
      </w:pPr>
      <w:r w:rsidRPr="00284492">
        <w:rPr>
          <w:rFonts w:asciiTheme="majorBidi" w:hAnsiTheme="majorBidi" w:cstheme="majorBidi"/>
        </w:rPr>
        <w:t>In a separate development, on 30 August 2025, Tonga town in Panyikang County came under attack by government forces who launched both aerial bombardments and ground offensives. HRD confirmed through three primary sources that prior to the a</w:t>
      </w:r>
      <w:r w:rsidRPr="00284492">
        <w:rPr>
          <w:rFonts w:asciiTheme="majorBidi" w:hAnsiTheme="majorBidi" w:cstheme="majorBidi"/>
        </w:rPr>
        <w:t>ttack</w:t>
      </w:r>
      <w:r w:rsidRPr="00284492">
        <w:rPr>
          <w:rFonts w:asciiTheme="majorBidi" w:hAnsiTheme="majorBidi" w:cstheme="majorBidi"/>
        </w:rPr>
        <w:t xml:space="preserve">, civilians had already fled Tonga to nearby locations including </w:t>
      </w:r>
      <w:proofErr w:type="spellStart"/>
      <w:r w:rsidRPr="00284492">
        <w:rPr>
          <w:rFonts w:asciiTheme="majorBidi" w:hAnsiTheme="majorBidi" w:cstheme="majorBidi"/>
        </w:rPr>
        <w:t>Wic</w:t>
      </w:r>
      <w:proofErr w:type="spellEnd"/>
      <w:r w:rsidRPr="00284492">
        <w:rPr>
          <w:rFonts w:asciiTheme="majorBidi" w:hAnsiTheme="majorBidi" w:cstheme="majorBidi"/>
        </w:rPr>
        <w:t xml:space="preserve"> Panyikang, </w:t>
      </w:r>
      <w:proofErr w:type="spellStart"/>
      <w:r w:rsidRPr="00284492">
        <w:rPr>
          <w:rFonts w:asciiTheme="majorBidi" w:hAnsiTheme="majorBidi" w:cstheme="majorBidi"/>
        </w:rPr>
        <w:t>Thaleer</w:t>
      </w:r>
      <w:proofErr w:type="spellEnd"/>
      <w:r w:rsidRPr="00284492">
        <w:rPr>
          <w:rFonts w:asciiTheme="majorBidi" w:hAnsiTheme="majorBidi" w:cstheme="majorBidi"/>
        </w:rPr>
        <w:t xml:space="preserve">, </w:t>
      </w:r>
      <w:proofErr w:type="spellStart"/>
      <w:r w:rsidRPr="00284492">
        <w:rPr>
          <w:rFonts w:asciiTheme="majorBidi" w:hAnsiTheme="majorBidi" w:cstheme="majorBidi"/>
        </w:rPr>
        <w:t>Juabor</w:t>
      </w:r>
      <w:proofErr w:type="spellEnd"/>
      <w:r w:rsidRPr="00284492">
        <w:rPr>
          <w:rFonts w:asciiTheme="majorBidi" w:hAnsiTheme="majorBidi" w:cstheme="majorBidi"/>
        </w:rPr>
        <w:t>, and villages south of Tonga town. Consequently, no civilian casualties have been reported at this stage. Government forces subsequently claimed to have taken control of Tonga. However, credible accounts indicate significant mobilization of SPLA-</w:t>
      </w:r>
      <w:proofErr w:type="spellStart"/>
      <w:r w:rsidRPr="00284492">
        <w:rPr>
          <w:rFonts w:asciiTheme="majorBidi" w:hAnsiTheme="majorBidi" w:cstheme="majorBidi"/>
        </w:rPr>
        <w:t>iO</w:t>
      </w:r>
      <w:proofErr w:type="spellEnd"/>
      <w:r w:rsidRPr="00284492">
        <w:rPr>
          <w:rFonts w:asciiTheme="majorBidi" w:hAnsiTheme="majorBidi" w:cstheme="majorBidi"/>
        </w:rPr>
        <w:t xml:space="preserve"> forces, including affiliated White Army elements, in preparation for a counter-offensive aimed at regaining </w:t>
      </w:r>
      <w:r w:rsidRPr="00284492">
        <w:rPr>
          <w:rFonts w:asciiTheme="majorBidi" w:hAnsiTheme="majorBidi" w:cstheme="majorBidi"/>
        </w:rPr>
        <w:t xml:space="preserve">Tonga </w:t>
      </w:r>
      <w:r w:rsidRPr="00284492">
        <w:rPr>
          <w:rFonts w:asciiTheme="majorBidi" w:hAnsiTheme="majorBidi" w:cstheme="majorBidi"/>
        </w:rPr>
        <w:t>town.</w:t>
      </w:r>
    </w:p>
    <w:p w14:paraId="36FF99E7" w14:textId="2B582C9C" w:rsidR="00132943" w:rsidRPr="00284492" w:rsidRDefault="00FB06AB" w:rsidP="00B36DB4">
      <w:pPr>
        <w:pStyle w:val="NormalWeb"/>
        <w:jc w:val="both"/>
        <w:rPr>
          <w:rFonts w:asciiTheme="majorBidi" w:hAnsiTheme="majorBidi" w:cstheme="majorBidi"/>
          <w:i/>
          <w:iCs/>
        </w:rPr>
      </w:pPr>
      <w:r w:rsidRPr="00284492">
        <w:rPr>
          <w:rFonts w:asciiTheme="majorBidi" w:hAnsiTheme="majorBidi" w:cstheme="majorBidi"/>
          <w:b/>
          <w:bCs/>
          <w:i/>
          <w:iCs/>
        </w:rPr>
        <w:t>Comment:</w:t>
      </w:r>
      <w:r w:rsidRPr="00284492">
        <w:rPr>
          <w:rFonts w:asciiTheme="majorBidi" w:hAnsiTheme="majorBidi" w:cstheme="majorBidi"/>
          <w:i/>
          <w:iCs/>
        </w:rPr>
        <w:t xml:space="preserve"> </w:t>
      </w:r>
      <w:r w:rsidRPr="00284492">
        <w:rPr>
          <w:rFonts w:asciiTheme="majorBidi" w:hAnsiTheme="majorBidi" w:cstheme="majorBidi"/>
          <w:i/>
          <w:iCs/>
        </w:rPr>
        <w:t>The situation in Upper Nile remains tense and highly volatile. The Manikauach</w:t>
      </w:r>
      <w:r w:rsidRPr="00284492">
        <w:rPr>
          <w:rFonts w:asciiTheme="majorBidi" w:hAnsiTheme="majorBidi" w:cstheme="majorBidi"/>
          <w:i/>
          <w:iCs/>
        </w:rPr>
        <w:t xml:space="preserve"> </w:t>
      </w:r>
      <w:r w:rsidRPr="00284492">
        <w:rPr>
          <w:rFonts w:asciiTheme="majorBidi" w:hAnsiTheme="majorBidi" w:cstheme="majorBidi"/>
          <w:i/>
          <w:iCs/>
        </w:rPr>
        <w:t xml:space="preserve">incident demonstrates how intercommunal retaliatory violence continues to claim civilian lives and inflict injuries, while the military operations in Tonga have triggered further displacement and heightened fear </w:t>
      </w:r>
      <w:r w:rsidRPr="00284492">
        <w:rPr>
          <w:rFonts w:asciiTheme="majorBidi" w:hAnsiTheme="majorBidi" w:cstheme="majorBidi"/>
          <w:i/>
          <w:iCs/>
        </w:rPr>
        <w:lastRenderedPageBreak/>
        <w:t>among the local population. Both incidents highlight the precarious security environment in which civilians remain at constant risk of harm and forced displacement. HRD will continue to monitor developments, engage relevant stakeholders, and advocate for measures to protect civilians and prevent further violations.</w:t>
      </w: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1879323D" w:rsidR="00DB713E" w:rsidRPr="00B36DB4"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035F2B">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bCs/>
          <w:sz w:val="24"/>
          <w:szCs w:val="24"/>
        </w:rPr>
        <w:t>Administration of Justice</w:t>
      </w:r>
      <w:bookmarkStart w:id="2" w:name="_Hlk187242477"/>
      <w:r w:rsidR="00035F2B">
        <w:rPr>
          <w:rFonts w:ascii="Times New Roman" w:eastAsia="Palatino Linotype" w:hAnsi="Times New Roman" w:cs="Times New Roman"/>
          <w:b/>
          <w:bCs/>
          <w:sz w:val="24"/>
          <w:szCs w:val="24"/>
        </w:rPr>
        <w:t xml:space="preserve"> </w:t>
      </w:r>
      <w:r w:rsidR="00B36DB4">
        <w:rPr>
          <w:rFonts w:ascii="Times New Roman" w:eastAsia="Palatino Linotype" w:hAnsi="Times New Roman" w:cs="Times New Roman"/>
          <w:b/>
          <w:bCs/>
          <w:sz w:val="24"/>
          <w:szCs w:val="24"/>
        </w:rPr>
        <w:t>–</w:t>
      </w:r>
      <w:r w:rsidR="00035F2B">
        <w:rPr>
          <w:rFonts w:ascii="Times New Roman" w:eastAsia="Palatino Linotype" w:hAnsi="Times New Roman" w:cs="Times New Roman"/>
          <w:b/>
          <w:bCs/>
          <w:sz w:val="24"/>
          <w:szCs w:val="24"/>
        </w:rPr>
        <w:t xml:space="preserve"> </w:t>
      </w:r>
    </w:p>
    <w:p w14:paraId="74EB030C" w14:textId="77777777" w:rsidR="00B36DB4" w:rsidRDefault="00B36DB4" w:rsidP="00B36DB4">
      <w:pPr>
        <w:spacing w:after="0" w:line="240" w:lineRule="auto"/>
        <w:contextualSpacing/>
        <w:jc w:val="both"/>
      </w:pPr>
    </w:p>
    <w:p w14:paraId="45FD2219" w14:textId="3F824C1E" w:rsidR="00B36DB4" w:rsidRPr="00B36DB4" w:rsidRDefault="00B36DB4" w:rsidP="00B36DB4">
      <w:pPr>
        <w:pStyle w:val="ListParagraph"/>
        <w:numPr>
          <w:ilvl w:val="0"/>
          <w:numId w:val="24"/>
        </w:numPr>
        <w:spacing w:after="0" w:line="240" w:lineRule="auto"/>
        <w:jc w:val="both"/>
        <w:rPr>
          <w:rFonts w:asciiTheme="majorBidi" w:eastAsia="Palatino Linotype" w:hAnsiTheme="majorBidi" w:cstheme="majorBidi"/>
          <w:b/>
          <w:bCs/>
          <w:i/>
          <w:iCs/>
          <w:sz w:val="24"/>
          <w:szCs w:val="24"/>
        </w:rPr>
      </w:pPr>
      <w:r w:rsidRPr="00B36DB4">
        <w:rPr>
          <w:rFonts w:asciiTheme="majorBidi" w:hAnsiTheme="majorBidi" w:cstheme="majorBidi"/>
          <w:b/>
          <w:bCs/>
          <w:i/>
          <w:iCs/>
          <w:sz w:val="24"/>
          <w:szCs w:val="24"/>
        </w:rPr>
        <w:t>HRD Participates in</w:t>
      </w:r>
      <w:r w:rsidR="00284492">
        <w:rPr>
          <w:rFonts w:asciiTheme="majorBidi" w:hAnsiTheme="majorBidi" w:cstheme="majorBidi"/>
          <w:b/>
          <w:bCs/>
          <w:i/>
          <w:iCs/>
          <w:sz w:val="24"/>
          <w:szCs w:val="24"/>
        </w:rPr>
        <w:t xml:space="preserve"> the</w:t>
      </w:r>
      <w:r w:rsidRPr="00B36DB4">
        <w:rPr>
          <w:rFonts w:asciiTheme="majorBidi" w:hAnsiTheme="majorBidi" w:cstheme="majorBidi"/>
          <w:b/>
          <w:bCs/>
          <w:i/>
          <w:iCs/>
          <w:sz w:val="24"/>
          <w:szCs w:val="24"/>
        </w:rPr>
        <w:t xml:space="preserve"> Upper Nile Rule of Law Forum to Strengthen Judicial Processes and Access to Justice</w:t>
      </w:r>
    </w:p>
    <w:p w14:paraId="40A01313" w14:textId="32AEA3C4" w:rsidR="00B36DB4" w:rsidRDefault="00B36DB4" w:rsidP="00B36DB4">
      <w:pPr>
        <w:pStyle w:val="NormalWeb"/>
        <w:jc w:val="both"/>
      </w:pPr>
      <w:r>
        <w:t>On 29 August 2025, HRD participated in the Upper Nile Rule of Law Forum held in Malakal. The forum brought together key justice sector actors, including UNMISS sections (UNPOL, Corrections, RoLSIS), state institutions such as the PPA, National Police Service, Prison Service, the State Human Rights Commission, Directors General of various ministries, traditional courts, and the South Sudan Law Society. The meeting served as a platform for dialogue and coordination to strengthen the administration of justice across the state.</w:t>
      </w:r>
    </w:p>
    <w:p w14:paraId="58089B3D" w14:textId="77777777" w:rsidR="00B36DB4" w:rsidRDefault="00B36DB4" w:rsidP="00B36DB4">
      <w:pPr>
        <w:pStyle w:val="NormalWeb"/>
        <w:jc w:val="both"/>
      </w:pPr>
      <w:r>
        <w:t xml:space="preserve">A major focus was the upcoming deployment of a mobile court to Maban County from 20 October to 21 November 2025. The court will handle 70 criminal cases, including 18 related to SGBV, and help address a backlog of 71 overdue High Court cases. The Ministry of Justice approved the deployment of two judges and two prosecutors, while the South Sudan Law Society will provide three defense advocates. Additionally, six police investigators and two prison officers will support operations. HRD reaffirmed its role in facilitating victim and witness participation, ensuring protection of vulnerable </w:t>
      </w:r>
      <w:proofErr w:type="gramStart"/>
      <w:r>
        <w:t>persons</w:t>
      </w:r>
      <w:proofErr w:type="gramEnd"/>
      <w:r>
        <w:t>, and monitoring trial proceedings.</w:t>
      </w:r>
    </w:p>
    <w:p w14:paraId="5D385D1B" w14:textId="307109BB" w:rsidR="00B36DB4" w:rsidRDefault="00B36DB4" w:rsidP="00B36DB4">
      <w:pPr>
        <w:pStyle w:val="NormalWeb"/>
        <w:jc w:val="both"/>
      </w:pPr>
      <w:r>
        <w:t xml:space="preserve">The forum also received updates on recent judicial appointments. These include new High Court and County Court judges in Malakal and </w:t>
      </w:r>
      <w:r w:rsidR="00284492">
        <w:t xml:space="preserve">A High Court Judge and 4 County Judges in </w:t>
      </w:r>
      <w:r>
        <w:t xml:space="preserve">Renk, a Second-Grade County Judge in </w:t>
      </w:r>
      <w:proofErr w:type="spellStart"/>
      <w:r>
        <w:t>Melut</w:t>
      </w:r>
      <w:proofErr w:type="spellEnd"/>
      <w:r>
        <w:t>, and a First-Grade County Court Judge with High Court powers in Maban. RoLSIS confirmed ongoing coordination with the Ministry of Justice to facilitate deployment and ensure coverage in underserved areas such as Kodok. These developments were welcomed as a step toward reducing prolonged detention and overreliance on mobile courts.</w:t>
      </w:r>
    </w:p>
    <w:p w14:paraId="5658CEDE" w14:textId="77777777" w:rsidR="00B36DB4" w:rsidRDefault="00B36DB4" w:rsidP="00B36DB4">
      <w:pPr>
        <w:pStyle w:val="NormalWeb"/>
        <w:jc w:val="both"/>
      </w:pPr>
      <w:r>
        <w:t>Participants further discussed the importance of harmonizing traditional and formal justice mechanisms. While traditional courts remain central at the community level, forum members emphasized the need for improved oversight and coordination to align their practices with human rights standards.</w:t>
      </w:r>
    </w:p>
    <w:p w14:paraId="7EF1C237" w14:textId="740456B2" w:rsidR="00DB713E" w:rsidRPr="00B36DB4" w:rsidRDefault="00B36DB4" w:rsidP="00B36DB4">
      <w:pPr>
        <w:pStyle w:val="NormalWeb"/>
        <w:jc w:val="both"/>
      </w:pPr>
      <w:r>
        <w:t>The forum noted with concern the continued issue of prolonged pretrial detention in Malakal, where over 110 individuals remain in remand despite some cases being ready for trial. The meeting concluded positively, with stakeholders reaffirming their collective commitment to strengthen the rule of law, deploy judicial personnel in a timely manner, and enhance access to justice through coordinated support to state institutions.</w:t>
      </w: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64CBC9B5" w:rsidR="00DE7FDF" w:rsidRPr="00035F2B" w:rsidRDefault="00F64818" w:rsidP="00874C5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035F2B">
        <w:rPr>
          <w:rFonts w:ascii="Times New Roman" w:eastAsia="Palatino Linotype" w:hAnsi="Times New Roman" w:cs="Times New Roman"/>
          <w:b/>
          <w:sz w:val="24"/>
          <w:szCs w:val="24"/>
        </w:rPr>
        <w:t>–</w:t>
      </w:r>
      <w:r w:rsidR="00874C56">
        <w:rPr>
          <w:rFonts w:ascii="Times New Roman" w:eastAsia="Palatino Linotype" w:hAnsi="Times New Roman" w:cs="Times New Roman"/>
          <w:b/>
          <w:sz w:val="24"/>
          <w:szCs w:val="24"/>
        </w:rPr>
        <w:t xml:space="preserve"> </w:t>
      </w:r>
      <w:r w:rsidR="00FB06AB" w:rsidRPr="00FB06AB">
        <w:rPr>
          <w:rFonts w:ascii="Times New Roman" w:eastAsia="Palatino Linotype" w:hAnsi="Times New Roman" w:cs="Times New Roman"/>
          <w:bCs/>
          <w:i/>
          <w:iCs/>
          <w:sz w:val="24"/>
          <w:szCs w:val="24"/>
        </w:rPr>
        <w:t>NSTR</w:t>
      </w:r>
    </w:p>
    <w:p w14:paraId="4103AE19" w14:textId="77777777" w:rsidR="00035F2B" w:rsidRDefault="00035F2B" w:rsidP="00035F2B">
      <w:pPr>
        <w:spacing w:after="0" w:line="240" w:lineRule="auto"/>
        <w:contextualSpacing/>
        <w:jc w:val="both"/>
        <w:rPr>
          <w:rFonts w:ascii="Times New Roman" w:eastAsia="Palatino Linotype" w:hAnsi="Times New Roman" w:cs="Times New Roman"/>
          <w:b/>
          <w:sz w:val="24"/>
          <w:szCs w:val="24"/>
        </w:rPr>
      </w:pPr>
    </w:p>
    <w:p w14:paraId="48D6D788" w14:textId="2C36E7E8" w:rsidR="00D27756" w:rsidRPr="00B36DB4" w:rsidRDefault="00F64818" w:rsidP="00B36DB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bookmarkEnd w:id="1"/>
    </w:p>
    <w:sectPr w:rsidR="00D27756" w:rsidRPr="00B36DB4" w:rsidSect="007A5BDC">
      <w:headerReference w:type="even" r:id="rId10"/>
      <w:headerReference w:type="default" r:id="rId11"/>
      <w:footerReference w:type="even" r:id="rId12"/>
      <w:footerReference w:type="default" r:id="rId13"/>
      <w:headerReference w:type="first" r:id="rId14"/>
      <w:footerReference w:type="first" r:id="rId15"/>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F69C5" w14:textId="77777777" w:rsidR="004E0BFF" w:rsidRDefault="004E0BFF" w:rsidP="00182875">
      <w:pPr>
        <w:spacing w:after="0" w:line="240" w:lineRule="auto"/>
      </w:pPr>
      <w:r>
        <w:separator/>
      </w:r>
    </w:p>
  </w:endnote>
  <w:endnote w:type="continuationSeparator" w:id="0">
    <w:p w14:paraId="6C7597A1" w14:textId="77777777" w:rsidR="004E0BFF" w:rsidRDefault="004E0BF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0D84" w14:textId="77777777" w:rsidR="00391B3B" w:rsidRDefault="00391B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2850353"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 Template</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93E8" w14:textId="77777777" w:rsidR="00391B3B" w:rsidRDefault="00391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DEB4" w14:textId="77777777" w:rsidR="004E0BFF" w:rsidRDefault="004E0BFF" w:rsidP="00182875">
      <w:pPr>
        <w:spacing w:after="0" w:line="240" w:lineRule="auto"/>
      </w:pPr>
      <w:r>
        <w:separator/>
      </w:r>
    </w:p>
  </w:footnote>
  <w:footnote w:type="continuationSeparator" w:id="0">
    <w:p w14:paraId="3BD63BC3" w14:textId="77777777" w:rsidR="004E0BFF" w:rsidRDefault="004E0BF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D2A9" w14:textId="77777777" w:rsidR="00391B3B" w:rsidRDefault="00391B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88D3" w14:textId="77777777" w:rsidR="00391B3B" w:rsidRDefault="00391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C859B5"/>
    <w:multiLevelType w:val="multilevel"/>
    <w:tmpl w:val="8B1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5"/>
  </w:num>
  <w:num w:numId="9" w16cid:durableId="189804582">
    <w:abstractNumId w:val="24"/>
  </w:num>
  <w:num w:numId="10" w16cid:durableId="566233004">
    <w:abstractNumId w:val="28"/>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6"/>
  </w:num>
  <w:num w:numId="22" w16cid:durableId="925577930">
    <w:abstractNumId w:val="6"/>
  </w:num>
  <w:num w:numId="23" w16cid:durableId="65036146">
    <w:abstractNumId w:val="15"/>
  </w:num>
  <w:num w:numId="24" w16cid:durableId="1878465229">
    <w:abstractNumId w:val="23"/>
  </w:num>
  <w:num w:numId="25" w16cid:durableId="1765488680">
    <w:abstractNumId w:val="27"/>
  </w:num>
  <w:num w:numId="26" w16cid:durableId="946036590">
    <w:abstractNumId w:val="13"/>
  </w:num>
  <w:num w:numId="27" w16cid:durableId="193033816">
    <w:abstractNumId w:val="29"/>
  </w:num>
  <w:num w:numId="28" w16cid:durableId="788816682">
    <w:abstractNumId w:val="14"/>
  </w:num>
  <w:num w:numId="29" w16cid:durableId="1116559980">
    <w:abstractNumId w:val="9"/>
  </w:num>
  <w:num w:numId="30" w16cid:durableId="1650244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35F2B"/>
    <w:rsid w:val="000426CC"/>
    <w:rsid w:val="00056414"/>
    <w:rsid w:val="00057298"/>
    <w:rsid w:val="00060CFF"/>
    <w:rsid w:val="0006257F"/>
    <w:rsid w:val="0006338C"/>
    <w:rsid w:val="00066E54"/>
    <w:rsid w:val="000837A3"/>
    <w:rsid w:val="00086976"/>
    <w:rsid w:val="000923D9"/>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2631"/>
    <w:rsid w:val="000D2E38"/>
    <w:rsid w:val="000D4781"/>
    <w:rsid w:val="000E1CB5"/>
    <w:rsid w:val="000E5F62"/>
    <w:rsid w:val="000E6296"/>
    <w:rsid w:val="000E681C"/>
    <w:rsid w:val="000F380C"/>
    <w:rsid w:val="000F6345"/>
    <w:rsid w:val="001021A7"/>
    <w:rsid w:val="00107717"/>
    <w:rsid w:val="0011737E"/>
    <w:rsid w:val="001240A2"/>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523D9"/>
    <w:rsid w:val="00255F91"/>
    <w:rsid w:val="00257BFF"/>
    <w:rsid w:val="00260A53"/>
    <w:rsid w:val="0026636C"/>
    <w:rsid w:val="00266BDD"/>
    <w:rsid w:val="002705AC"/>
    <w:rsid w:val="00270BAE"/>
    <w:rsid w:val="00281BA7"/>
    <w:rsid w:val="002832A7"/>
    <w:rsid w:val="00284492"/>
    <w:rsid w:val="00285240"/>
    <w:rsid w:val="00292423"/>
    <w:rsid w:val="00292EB7"/>
    <w:rsid w:val="002947F7"/>
    <w:rsid w:val="00295289"/>
    <w:rsid w:val="00296E0F"/>
    <w:rsid w:val="002A1A65"/>
    <w:rsid w:val="002B3397"/>
    <w:rsid w:val="002B6414"/>
    <w:rsid w:val="002B68AB"/>
    <w:rsid w:val="002B7499"/>
    <w:rsid w:val="002C0EDC"/>
    <w:rsid w:val="002C34CB"/>
    <w:rsid w:val="002C43DB"/>
    <w:rsid w:val="002C4BA6"/>
    <w:rsid w:val="002C59D6"/>
    <w:rsid w:val="002C73AF"/>
    <w:rsid w:val="002E4CB7"/>
    <w:rsid w:val="002E6CB4"/>
    <w:rsid w:val="002E6DBC"/>
    <w:rsid w:val="002E7C57"/>
    <w:rsid w:val="002F3C2E"/>
    <w:rsid w:val="002F7637"/>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C458A"/>
    <w:rsid w:val="004D4D49"/>
    <w:rsid w:val="004E0BFF"/>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4274"/>
    <w:rsid w:val="00595E74"/>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B95"/>
    <w:rsid w:val="005E5FF9"/>
    <w:rsid w:val="005F2E77"/>
    <w:rsid w:val="005F6858"/>
    <w:rsid w:val="0060026C"/>
    <w:rsid w:val="00604E2B"/>
    <w:rsid w:val="00606F5F"/>
    <w:rsid w:val="00610E24"/>
    <w:rsid w:val="0061364F"/>
    <w:rsid w:val="00615C1C"/>
    <w:rsid w:val="006209AF"/>
    <w:rsid w:val="00621169"/>
    <w:rsid w:val="00621E7D"/>
    <w:rsid w:val="00625908"/>
    <w:rsid w:val="006423BE"/>
    <w:rsid w:val="00645D0B"/>
    <w:rsid w:val="00655E91"/>
    <w:rsid w:val="00657E07"/>
    <w:rsid w:val="00660788"/>
    <w:rsid w:val="00672AB0"/>
    <w:rsid w:val="0067536D"/>
    <w:rsid w:val="00683CF1"/>
    <w:rsid w:val="00683F3E"/>
    <w:rsid w:val="0068485C"/>
    <w:rsid w:val="006949D6"/>
    <w:rsid w:val="00696A13"/>
    <w:rsid w:val="006A3714"/>
    <w:rsid w:val="006B0EBC"/>
    <w:rsid w:val="006B4FA5"/>
    <w:rsid w:val="006B6729"/>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80427D"/>
    <w:rsid w:val="00804A13"/>
    <w:rsid w:val="00810A55"/>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1C06"/>
    <w:rsid w:val="008B1E64"/>
    <w:rsid w:val="008B2F18"/>
    <w:rsid w:val="008B5842"/>
    <w:rsid w:val="008B6E5D"/>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6371A"/>
    <w:rsid w:val="00977E72"/>
    <w:rsid w:val="00980C6D"/>
    <w:rsid w:val="00983F61"/>
    <w:rsid w:val="00985226"/>
    <w:rsid w:val="00993976"/>
    <w:rsid w:val="009A0DC1"/>
    <w:rsid w:val="009A3906"/>
    <w:rsid w:val="009A4681"/>
    <w:rsid w:val="009B2696"/>
    <w:rsid w:val="009B5AFB"/>
    <w:rsid w:val="009B64B4"/>
    <w:rsid w:val="009C171D"/>
    <w:rsid w:val="009C5CE4"/>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91FF9"/>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36DB4"/>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51BEB"/>
    <w:rsid w:val="00C54866"/>
    <w:rsid w:val="00C55C1F"/>
    <w:rsid w:val="00C60E6B"/>
    <w:rsid w:val="00C618D2"/>
    <w:rsid w:val="00C61DC5"/>
    <w:rsid w:val="00C659DC"/>
    <w:rsid w:val="00C679B3"/>
    <w:rsid w:val="00C67A92"/>
    <w:rsid w:val="00C7012B"/>
    <w:rsid w:val="00C7147B"/>
    <w:rsid w:val="00C80281"/>
    <w:rsid w:val="00C8645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70D69"/>
    <w:rsid w:val="00E70DAD"/>
    <w:rsid w:val="00E72297"/>
    <w:rsid w:val="00E80774"/>
    <w:rsid w:val="00E816E1"/>
    <w:rsid w:val="00E81927"/>
    <w:rsid w:val="00E824B9"/>
    <w:rsid w:val="00E83708"/>
    <w:rsid w:val="00E85486"/>
    <w:rsid w:val="00E85BD1"/>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6AB"/>
    <w:rsid w:val="00FB0AFE"/>
    <w:rsid w:val="00FB26FF"/>
    <w:rsid w:val="00FB5884"/>
    <w:rsid w:val="00FC03B3"/>
    <w:rsid w:val="00FD5A7F"/>
    <w:rsid w:val="00FD6505"/>
    <w:rsid w:val="00FD6556"/>
    <w:rsid w:val="00FE330D"/>
    <w:rsid w:val="00FE59F9"/>
    <w:rsid w:val="00FE5EC5"/>
    <w:rsid w:val="00FF0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36648391">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60412165">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452019685">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798254138">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2</cp:revision>
  <dcterms:created xsi:type="dcterms:W3CDTF">2025-09-01T14:30:00Z</dcterms:created>
  <dcterms:modified xsi:type="dcterms:W3CDTF">2025-09-01T14:30:00Z</dcterms:modified>
</cp:coreProperties>
</file>