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40E9" w14:textId="77777777" w:rsidR="00D8075E" w:rsidRPr="00EF1C00" w:rsidRDefault="00D8075E" w:rsidP="00D8075E">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34F95C14">
          <v:rect id="rectole0000000000" o:spid="_x0000_i1025" style="width:35.5pt;height:28pt" o:ole="" o:preferrelative="t" stroked="f">
            <v:imagedata r:id="rId7" o:title=""/>
          </v:rect>
          <o:OLEObject Type="Embed" ProgID="StaticMetafile" ShapeID="rectole0000000000" DrawAspect="Content" ObjectID="_1818428522"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E1D0CBA" w14:textId="77777777" w:rsidR="00D8075E" w:rsidRPr="00EF1C00" w:rsidRDefault="00D8075E" w:rsidP="00D8075E">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B7E0C7E" w14:textId="77777777" w:rsidR="00D8075E" w:rsidRPr="00EF1C00" w:rsidRDefault="00D8075E" w:rsidP="00D8075E">
      <w:pPr>
        <w:spacing w:after="0"/>
        <w:rPr>
          <w:rFonts w:asciiTheme="majorBidi" w:eastAsia="Times New Roman" w:hAnsiTheme="majorBidi" w:cstheme="majorBidi"/>
          <w:b/>
          <w:sz w:val="24"/>
          <w:szCs w:val="24"/>
        </w:rPr>
      </w:pPr>
    </w:p>
    <w:p w14:paraId="0DB21E36" w14:textId="77777777" w:rsidR="00D8075E" w:rsidRPr="00EF1C00" w:rsidRDefault="00D8075E" w:rsidP="00D8075E">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053DA855" w14:textId="77777777" w:rsidR="00D8075E" w:rsidRPr="00EF1C00" w:rsidRDefault="00D8075E" w:rsidP="00D8075E">
      <w:pPr>
        <w:spacing w:after="0"/>
        <w:ind w:left="3600"/>
        <w:rPr>
          <w:rFonts w:asciiTheme="majorBidi" w:eastAsia="Times New Roman" w:hAnsiTheme="majorBidi" w:cstheme="majorBidi"/>
          <w:b/>
          <w:sz w:val="24"/>
          <w:szCs w:val="24"/>
        </w:rPr>
      </w:pPr>
    </w:p>
    <w:p w14:paraId="296F6686" w14:textId="77777777" w:rsidR="00D8075E" w:rsidRPr="00EF1C00" w:rsidRDefault="00D8075E" w:rsidP="00D8075E">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31BCEB83" w14:textId="77777777" w:rsidR="00D8075E" w:rsidRPr="00EF1C00" w:rsidRDefault="00D8075E" w:rsidP="00D8075E">
      <w:pPr>
        <w:spacing w:after="0"/>
        <w:ind w:left="3600"/>
        <w:rPr>
          <w:rFonts w:asciiTheme="majorBidi" w:eastAsia="Calibri" w:hAnsiTheme="majorBidi" w:cstheme="majorBidi"/>
          <w:b/>
          <w:sz w:val="24"/>
          <w:szCs w:val="24"/>
        </w:rPr>
      </w:pPr>
    </w:p>
    <w:p w14:paraId="37A3C959" w14:textId="795A0E2D" w:rsidR="00D8075E" w:rsidRPr="00B05CAE" w:rsidRDefault="00015E6B" w:rsidP="00D8075E">
      <w:pPr>
        <w:spacing w:after="0"/>
        <w:jc w:val="center"/>
        <w:rPr>
          <w:rFonts w:asciiTheme="majorBidi" w:eastAsia="Calibri" w:hAnsiTheme="majorBidi" w:cstheme="majorBidi"/>
          <w:b/>
          <w:sz w:val="24"/>
          <w:szCs w:val="24"/>
        </w:rPr>
      </w:pPr>
      <w:r w:rsidRPr="00B05CAE">
        <w:rPr>
          <w:rFonts w:asciiTheme="majorBidi" w:eastAsia="Calibri" w:hAnsiTheme="majorBidi" w:cstheme="majorBidi"/>
          <w:b/>
          <w:sz w:val="24"/>
          <w:szCs w:val="24"/>
        </w:rPr>
        <w:t>3</w:t>
      </w:r>
      <w:r w:rsidR="00D8075E" w:rsidRPr="00B05CAE">
        <w:rPr>
          <w:rFonts w:asciiTheme="majorBidi" w:eastAsia="Calibri" w:hAnsiTheme="majorBidi" w:cstheme="majorBidi"/>
          <w:b/>
          <w:sz w:val="24"/>
          <w:szCs w:val="24"/>
        </w:rPr>
        <w:t>/09/2025</w:t>
      </w:r>
    </w:p>
    <w:p w14:paraId="21701D1F" w14:textId="77777777" w:rsidR="00D8075E" w:rsidRPr="00B05CAE" w:rsidRDefault="00D8075E" w:rsidP="00D8075E">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B05CAE">
        <w:rPr>
          <w:rFonts w:asciiTheme="majorBidi" w:eastAsia="Palatino Linotype" w:hAnsiTheme="majorBidi" w:cstheme="majorBidi"/>
          <w:b/>
          <w:i/>
          <w:iCs/>
          <w:sz w:val="24"/>
          <w:szCs w:val="24"/>
        </w:rPr>
        <w:t>Highlight</w:t>
      </w:r>
      <w:bookmarkEnd w:id="0"/>
      <w:r w:rsidRPr="00B05CAE">
        <w:rPr>
          <w:rFonts w:asciiTheme="majorBidi" w:eastAsia="Palatino Linotype" w:hAnsiTheme="majorBidi" w:cstheme="majorBidi"/>
          <w:b/>
          <w:i/>
          <w:iCs/>
          <w:sz w:val="24"/>
          <w:szCs w:val="24"/>
        </w:rPr>
        <w:t>s</w:t>
      </w:r>
      <w:bookmarkStart w:id="3" w:name="_Hlk197361618"/>
      <w:bookmarkEnd w:id="1"/>
    </w:p>
    <w:p w14:paraId="6519F42B" w14:textId="77777777" w:rsidR="00D8075E" w:rsidRPr="00B05CAE" w:rsidRDefault="00D8075E" w:rsidP="00D8075E">
      <w:pPr>
        <w:spacing w:after="0" w:line="240" w:lineRule="auto"/>
        <w:jc w:val="both"/>
        <w:rPr>
          <w:rFonts w:asciiTheme="majorBidi" w:eastAsia="Palatino Linotype" w:hAnsiTheme="majorBidi" w:cstheme="majorBidi"/>
          <w:b/>
          <w:i/>
          <w:iCs/>
          <w:sz w:val="24"/>
          <w:szCs w:val="24"/>
        </w:rPr>
      </w:pPr>
    </w:p>
    <w:p w14:paraId="4FDED5D7" w14:textId="26CCBA9C" w:rsidR="00053ED1" w:rsidRPr="001C3714" w:rsidRDefault="0007529D" w:rsidP="00053ED1">
      <w:pPr>
        <w:pStyle w:val="ListParagraph"/>
        <w:numPr>
          <w:ilvl w:val="0"/>
          <w:numId w:val="2"/>
        </w:numPr>
        <w:spacing w:after="0" w:line="240" w:lineRule="auto"/>
        <w:rPr>
          <w:rFonts w:ascii="Times New Roman" w:eastAsia="Times New Roman" w:hAnsi="Times New Roman" w:cs="Times New Roman"/>
          <w:b/>
          <w:bCs/>
          <w:i/>
          <w:iCs/>
          <w:sz w:val="24"/>
          <w:szCs w:val="24"/>
        </w:rPr>
      </w:pPr>
      <w:r w:rsidRPr="001C3714">
        <w:rPr>
          <w:rFonts w:ascii="Times New Roman" w:eastAsia="Times New Roman" w:hAnsi="Times New Roman" w:cs="Times New Roman"/>
          <w:b/>
          <w:bCs/>
          <w:i/>
          <w:iCs/>
          <w:sz w:val="24"/>
          <w:szCs w:val="24"/>
        </w:rPr>
        <w:t xml:space="preserve">South Sudan Peoples </w:t>
      </w:r>
      <w:proofErr w:type="spellStart"/>
      <w:r w:rsidRPr="001C3714">
        <w:rPr>
          <w:rFonts w:ascii="Times New Roman" w:eastAsia="Times New Roman" w:hAnsi="Times New Roman" w:cs="Times New Roman"/>
          <w:b/>
          <w:bCs/>
          <w:i/>
          <w:iCs/>
          <w:sz w:val="24"/>
          <w:szCs w:val="24"/>
        </w:rPr>
        <w:t>Defence</w:t>
      </w:r>
      <w:proofErr w:type="spellEnd"/>
      <w:r w:rsidRPr="001C3714">
        <w:rPr>
          <w:rFonts w:ascii="Times New Roman" w:eastAsia="Times New Roman" w:hAnsi="Times New Roman" w:cs="Times New Roman"/>
          <w:b/>
          <w:bCs/>
          <w:i/>
          <w:iCs/>
          <w:sz w:val="24"/>
          <w:szCs w:val="24"/>
        </w:rPr>
        <w:t xml:space="preserve"> Forces (</w:t>
      </w:r>
      <w:r w:rsidR="00053ED1" w:rsidRPr="001C3714">
        <w:rPr>
          <w:rFonts w:ascii="Times New Roman" w:eastAsia="Times New Roman" w:hAnsi="Times New Roman" w:cs="Times New Roman"/>
          <w:b/>
          <w:bCs/>
          <w:i/>
          <w:iCs/>
          <w:sz w:val="24"/>
          <w:szCs w:val="24"/>
        </w:rPr>
        <w:t>SSPDF</w:t>
      </w:r>
      <w:r w:rsidRPr="001C3714">
        <w:rPr>
          <w:rFonts w:ascii="Times New Roman" w:eastAsia="Times New Roman" w:hAnsi="Times New Roman" w:cs="Times New Roman"/>
          <w:b/>
          <w:bCs/>
          <w:i/>
          <w:iCs/>
          <w:sz w:val="24"/>
          <w:szCs w:val="24"/>
        </w:rPr>
        <w:t>) soldiers allegedly</w:t>
      </w:r>
      <w:r w:rsidR="00053ED1" w:rsidRPr="001C3714">
        <w:rPr>
          <w:rFonts w:ascii="Times New Roman" w:eastAsia="Times New Roman" w:hAnsi="Times New Roman" w:cs="Times New Roman"/>
          <w:b/>
          <w:bCs/>
          <w:i/>
          <w:iCs/>
          <w:sz w:val="24"/>
          <w:szCs w:val="24"/>
        </w:rPr>
        <w:t xml:space="preserve"> extrajudicially executed six civilians in Tambura </w:t>
      </w:r>
      <w:r w:rsidRPr="001C3714">
        <w:rPr>
          <w:rFonts w:ascii="Times New Roman" w:eastAsia="Times New Roman" w:hAnsi="Times New Roman" w:cs="Times New Roman"/>
          <w:b/>
          <w:bCs/>
          <w:i/>
          <w:iCs/>
          <w:sz w:val="24"/>
          <w:szCs w:val="24"/>
        </w:rPr>
        <w:t>T</w:t>
      </w:r>
      <w:r w:rsidR="00053ED1" w:rsidRPr="001C3714">
        <w:rPr>
          <w:rFonts w:ascii="Times New Roman" w:eastAsia="Times New Roman" w:hAnsi="Times New Roman" w:cs="Times New Roman"/>
          <w:b/>
          <w:bCs/>
          <w:i/>
          <w:iCs/>
          <w:sz w:val="24"/>
          <w:szCs w:val="24"/>
        </w:rPr>
        <w:t xml:space="preserve">own, Tambura </w:t>
      </w:r>
      <w:r w:rsidRPr="001C3714">
        <w:rPr>
          <w:rFonts w:ascii="Times New Roman" w:eastAsia="Times New Roman" w:hAnsi="Times New Roman" w:cs="Times New Roman"/>
          <w:b/>
          <w:bCs/>
          <w:i/>
          <w:iCs/>
          <w:sz w:val="24"/>
          <w:szCs w:val="24"/>
        </w:rPr>
        <w:t>C</w:t>
      </w:r>
      <w:r w:rsidR="00053ED1" w:rsidRPr="001C3714">
        <w:rPr>
          <w:rFonts w:ascii="Times New Roman" w:eastAsia="Times New Roman" w:hAnsi="Times New Roman" w:cs="Times New Roman"/>
          <w:b/>
          <w:bCs/>
          <w:i/>
          <w:iCs/>
          <w:sz w:val="24"/>
          <w:szCs w:val="24"/>
        </w:rPr>
        <w:t>ounty</w:t>
      </w:r>
    </w:p>
    <w:p w14:paraId="1E265E2D" w14:textId="167869B8" w:rsidR="00D8075E" w:rsidRPr="001C3714" w:rsidRDefault="00D8075E" w:rsidP="00D8075E">
      <w:pPr>
        <w:pStyle w:val="ListParagraph"/>
        <w:numPr>
          <w:ilvl w:val="0"/>
          <w:numId w:val="2"/>
        </w:numPr>
        <w:spacing w:after="160" w:line="278" w:lineRule="auto"/>
        <w:rPr>
          <w:rFonts w:asciiTheme="majorBidi" w:hAnsiTheme="majorBidi" w:cstheme="majorBidi"/>
          <w:b/>
          <w:bCs/>
          <w:i/>
          <w:iCs/>
          <w:sz w:val="24"/>
          <w:szCs w:val="24"/>
        </w:rPr>
      </w:pPr>
      <w:r w:rsidRPr="001C3714">
        <w:rPr>
          <w:rFonts w:asciiTheme="majorBidi" w:hAnsiTheme="majorBidi" w:cstheme="majorBidi"/>
          <w:b/>
          <w:bCs/>
          <w:i/>
          <w:iCs/>
          <w:sz w:val="24"/>
          <w:szCs w:val="24"/>
        </w:rPr>
        <w:t xml:space="preserve">Monitoring visit to the GBV One-Stop Centre in Yambio </w:t>
      </w:r>
      <w:r w:rsidR="0007529D" w:rsidRPr="001C3714">
        <w:rPr>
          <w:rFonts w:asciiTheme="majorBidi" w:hAnsiTheme="majorBidi" w:cstheme="majorBidi"/>
          <w:b/>
          <w:bCs/>
          <w:i/>
          <w:iCs/>
          <w:sz w:val="24"/>
          <w:szCs w:val="24"/>
        </w:rPr>
        <w:t>T</w:t>
      </w:r>
      <w:r w:rsidRPr="001C3714">
        <w:rPr>
          <w:rFonts w:asciiTheme="majorBidi" w:hAnsiTheme="majorBidi" w:cstheme="majorBidi"/>
          <w:b/>
          <w:bCs/>
          <w:i/>
          <w:iCs/>
          <w:sz w:val="24"/>
          <w:szCs w:val="24"/>
        </w:rPr>
        <w:t>own, Yambio County</w:t>
      </w:r>
    </w:p>
    <w:p w14:paraId="40F799C6" w14:textId="77777777" w:rsidR="00D8075E" w:rsidRPr="00B05CAE" w:rsidRDefault="00D8075E" w:rsidP="00D8075E">
      <w:pPr>
        <w:spacing w:after="0" w:line="240" w:lineRule="auto"/>
        <w:jc w:val="both"/>
        <w:rPr>
          <w:rFonts w:asciiTheme="majorBidi" w:eastAsia="Palatino Linotype" w:hAnsiTheme="majorBidi" w:cstheme="majorBidi"/>
          <w:bCs/>
          <w:sz w:val="24"/>
          <w:szCs w:val="24"/>
        </w:rPr>
      </w:pPr>
    </w:p>
    <w:bookmarkEnd w:id="2"/>
    <w:bookmarkEnd w:id="3"/>
    <w:p w14:paraId="37632012" w14:textId="032D85A7" w:rsidR="00D8075E" w:rsidRPr="00B05CAE" w:rsidRDefault="00D8075E" w:rsidP="00D8075E">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B05CAE">
        <w:rPr>
          <w:rFonts w:asciiTheme="majorBidi" w:eastAsia="Calibri" w:hAnsiTheme="majorBidi" w:cstheme="majorBidi"/>
          <w:b/>
          <w:bCs/>
          <w:sz w:val="24"/>
          <w:szCs w:val="24"/>
        </w:rPr>
        <w:t>Political and Security Updates</w:t>
      </w:r>
    </w:p>
    <w:p w14:paraId="70D22615" w14:textId="77777777" w:rsidR="00D8075E" w:rsidRPr="00B05CAE"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 xml:space="preserve">Human Rights in the Electoral Process </w:t>
      </w:r>
    </w:p>
    <w:p w14:paraId="200788A3" w14:textId="25AD3EE6" w:rsidR="00D8075E" w:rsidRPr="00B05CAE"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Conflict-Related Violations/Abuses</w:t>
      </w:r>
    </w:p>
    <w:p w14:paraId="4B8CB0A8" w14:textId="77777777" w:rsidR="00053ED1" w:rsidRPr="00B05CAE" w:rsidRDefault="00053ED1" w:rsidP="00053ED1">
      <w:pPr>
        <w:spacing w:after="0" w:line="240" w:lineRule="auto"/>
        <w:contextualSpacing/>
        <w:jc w:val="both"/>
        <w:rPr>
          <w:rFonts w:asciiTheme="majorBidi" w:eastAsia="Palatino Linotype" w:hAnsiTheme="majorBidi" w:cstheme="majorBidi"/>
          <w:b/>
          <w:sz w:val="24"/>
          <w:szCs w:val="24"/>
        </w:rPr>
      </w:pPr>
    </w:p>
    <w:p w14:paraId="33AD4051" w14:textId="0732CBFA" w:rsidR="00053ED1" w:rsidRPr="00B05CAE" w:rsidRDefault="001C3714" w:rsidP="00053ED1">
      <w:pPr>
        <w:pStyle w:val="ListParagraph"/>
        <w:numPr>
          <w:ilvl w:val="0"/>
          <w:numId w:val="4"/>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South Sudan Peoples </w:t>
      </w:r>
      <w:proofErr w:type="spellStart"/>
      <w:r>
        <w:rPr>
          <w:rFonts w:ascii="Times New Roman" w:eastAsia="Times New Roman" w:hAnsi="Times New Roman" w:cs="Times New Roman"/>
          <w:b/>
          <w:bCs/>
          <w:sz w:val="24"/>
          <w:szCs w:val="24"/>
        </w:rPr>
        <w:t>Defence</w:t>
      </w:r>
      <w:proofErr w:type="spellEnd"/>
      <w:r>
        <w:rPr>
          <w:rFonts w:ascii="Times New Roman" w:eastAsia="Times New Roman" w:hAnsi="Times New Roman" w:cs="Times New Roman"/>
          <w:b/>
          <w:bCs/>
          <w:sz w:val="24"/>
          <w:szCs w:val="24"/>
        </w:rPr>
        <w:t xml:space="preserve"> Forces (</w:t>
      </w:r>
      <w:r w:rsidRPr="00B05CAE">
        <w:rPr>
          <w:rFonts w:ascii="Times New Roman" w:eastAsia="Times New Roman" w:hAnsi="Times New Roman" w:cs="Times New Roman"/>
          <w:b/>
          <w:bCs/>
          <w:sz w:val="24"/>
          <w:szCs w:val="24"/>
        </w:rPr>
        <w:t>SSPDF</w:t>
      </w:r>
      <w:r>
        <w:rPr>
          <w:rFonts w:ascii="Times New Roman" w:eastAsia="Times New Roman" w:hAnsi="Times New Roman" w:cs="Times New Roman"/>
          <w:b/>
          <w:bCs/>
          <w:sz w:val="24"/>
          <w:szCs w:val="24"/>
        </w:rPr>
        <w:t>) soldiers allegedly</w:t>
      </w:r>
      <w:r w:rsidRPr="00B05CAE">
        <w:rPr>
          <w:rFonts w:ascii="Times New Roman" w:eastAsia="Times New Roman" w:hAnsi="Times New Roman" w:cs="Times New Roman"/>
          <w:b/>
          <w:bCs/>
          <w:sz w:val="24"/>
          <w:szCs w:val="24"/>
        </w:rPr>
        <w:t xml:space="preserve"> extrajudicially executed six civilians in Tambura </w:t>
      </w:r>
      <w:r>
        <w:rPr>
          <w:rFonts w:ascii="Times New Roman" w:eastAsia="Times New Roman" w:hAnsi="Times New Roman" w:cs="Times New Roman"/>
          <w:b/>
          <w:bCs/>
          <w:sz w:val="24"/>
          <w:szCs w:val="24"/>
        </w:rPr>
        <w:t>T</w:t>
      </w:r>
      <w:r w:rsidRPr="00B05CAE">
        <w:rPr>
          <w:rFonts w:ascii="Times New Roman" w:eastAsia="Times New Roman" w:hAnsi="Times New Roman" w:cs="Times New Roman"/>
          <w:b/>
          <w:bCs/>
          <w:sz w:val="24"/>
          <w:szCs w:val="24"/>
        </w:rPr>
        <w:t xml:space="preserve">own, Tambura </w:t>
      </w:r>
      <w:r>
        <w:rPr>
          <w:rFonts w:ascii="Times New Roman" w:eastAsia="Times New Roman" w:hAnsi="Times New Roman" w:cs="Times New Roman"/>
          <w:b/>
          <w:bCs/>
          <w:sz w:val="24"/>
          <w:szCs w:val="24"/>
        </w:rPr>
        <w:t>C</w:t>
      </w:r>
      <w:r w:rsidRPr="00B05CAE">
        <w:rPr>
          <w:rFonts w:ascii="Times New Roman" w:eastAsia="Times New Roman" w:hAnsi="Times New Roman" w:cs="Times New Roman"/>
          <w:b/>
          <w:bCs/>
          <w:sz w:val="24"/>
          <w:szCs w:val="24"/>
        </w:rPr>
        <w:t>ounty</w:t>
      </w:r>
    </w:p>
    <w:p w14:paraId="18892ECE" w14:textId="77777777" w:rsidR="00053ED1" w:rsidRPr="00B05CAE" w:rsidRDefault="00053ED1" w:rsidP="00053ED1">
      <w:pPr>
        <w:pStyle w:val="ListParagraph"/>
        <w:spacing w:after="0" w:line="240" w:lineRule="auto"/>
        <w:rPr>
          <w:rFonts w:ascii="Times New Roman" w:eastAsia="Times New Roman" w:hAnsi="Times New Roman" w:cs="Times New Roman"/>
          <w:sz w:val="24"/>
          <w:szCs w:val="24"/>
        </w:rPr>
      </w:pPr>
    </w:p>
    <w:p w14:paraId="61D56455" w14:textId="15B356C1" w:rsidR="00053ED1" w:rsidRPr="00B05CAE" w:rsidRDefault="00053ED1" w:rsidP="00053ED1">
      <w:pPr>
        <w:jc w:val="both"/>
        <w:rPr>
          <w:rFonts w:asciiTheme="majorBidi" w:hAnsiTheme="majorBidi" w:cstheme="majorBidi"/>
          <w:sz w:val="24"/>
          <w:szCs w:val="24"/>
        </w:rPr>
      </w:pPr>
      <w:r w:rsidRPr="00B05CAE">
        <w:rPr>
          <w:rFonts w:asciiTheme="majorBidi" w:hAnsiTheme="majorBidi" w:cstheme="majorBidi"/>
          <w:sz w:val="24"/>
          <w:szCs w:val="24"/>
        </w:rPr>
        <w:t>On 3 September, HRD received reliable information from two sources who provided update </w:t>
      </w:r>
      <w:r w:rsidRPr="00B05CAE">
        <w:rPr>
          <w:rFonts w:asciiTheme="majorBidi" w:hAnsiTheme="majorBidi" w:cstheme="majorBidi"/>
          <w:b/>
          <w:bCs/>
          <w:i/>
          <w:iCs/>
          <w:sz w:val="24"/>
          <w:szCs w:val="24"/>
        </w:rPr>
        <w:t>re-</w:t>
      </w:r>
      <w:r w:rsidRPr="00B05CAE">
        <w:rPr>
          <w:rFonts w:asciiTheme="majorBidi" w:hAnsiTheme="majorBidi" w:cstheme="majorBidi"/>
          <w:sz w:val="24"/>
          <w:szCs w:val="24"/>
        </w:rPr>
        <w:t xml:space="preserve"> seven individuals subjected to arbitrary arrest and detention by the SSPDF in Ayat IDP camp, Tambura County on 12 August </w:t>
      </w:r>
      <w:r w:rsidRPr="00B05CAE">
        <w:rPr>
          <w:rFonts w:asciiTheme="majorBidi" w:hAnsiTheme="majorBidi" w:cstheme="majorBidi"/>
          <w:i/>
          <w:iCs/>
          <w:sz w:val="24"/>
          <w:szCs w:val="24"/>
        </w:rPr>
        <w:t xml:space="preserve">(see HRD 20250813 UNMISS </w:t>
      </w:r>
      <w:proofErr w:type="spellStart"/>
      <w:r w:rsidRPr="00B05CAE">
        <w:rPr>
          <w:rFonts w:asciiTheme="majorBidi" w:hAnsiTheme="majorBidi" w:cstheme="majorBidi"/>
          <w:i/>
          <w:iCs/>
          <w:sz w:val="24"/>
          <w:szCs w:val="24"/>
        </w:rPr>
        <w:t>HRD_Yambio</w:t>
      </w:r>
      <w:proofErr w:type="spellEnd"/>
      <w:r w:rsidRPr="00B05CAE">
        <w:rPr>
          <w:rFonts w:asciiTheme="majorBidi" w:hAnsiTheme="majorBidi" w:cstheme="majorBidi"/>
          <w:i/>
          <w:iCs/>
          <w:sz w:val="24"/>
          <w:szCs w:val="24"/>
        </w:rPr>
        <w:t xml:space="preserve"> Field </w:t>
      </w:r>
      <w:proofErr w:type="spellStart"/>
      <w:r w:rsidRPr="00B05CAE">
        <w:rPr>
          <w:rFonts w:asciiTheme="majorBidi" w:hAnsiTheme="majorBidi" w:cstheme="majorBidi"/>
          <w:i/>
          <w:iCs/>
          <w:sz w:val="24"/>
          <w:szCs w:val="24"/>
        </w:rPr>
        <w:t>Office_Daily</w:t>
      </w:r>
      <w:proofErr w:type="spellEnd"/>
      <w:r w:rsidRPr="00B05CAE">
        <w:rPr>
          <w:rFonts w:asciiTheme="majorBidi" w:hAnsiTheme="majorBidi" w:cstheme="majorBidi"/>
          <w:i/>
          <w:iCs/>
          <w:sz w:val="24"/>
          <w:szCs w:val="24"/>
        </w:rPr>
        <w:t xml:space="preserve"> Report), </w:t>
      </w:r>
      <w:r w:rsidRPr="00B05CAE">
        <w:rPr>
          <w:rFonts w:asciiTheme="majorBidi" w:hAnsiTheme="majorBidi" w:cstheme="majorBidi"/>
          <w:sz w:val="24"/>
          <w:szCs w:val="24"/>
        </w:rPr>
        <w:t xml:space="preserve">six out of seven victims (names on file) were </w:t>
      </w:r>
      <w:r w:rsidR="002B63AE" w:rsidRPr="00B05CAE">
        <w:rPr>
          <w:rFonts w:asciiTheme="majorBidi" w:hAnsiTheme="majorBidi" w:cstheme="majorBidi"/>
          <w:sz w:val="24"/>
          <w:szCs w:val="24"/>
        </w:rPr>
        <w:t>reportedly summarily executed</w:t>
      </w:r>
      <w:r w:rsidRPr="00B05CAE">
        <w:rPr>
          <w:rFonts w:asciiTheme="majorBidi" w:hAnsiTheme="majorBidi" w:cstheme="majorBidi"/>
          <w:sz w:val="24"/>
          <w:szCs w:val="24"/>
        </w:rPr>
        <w:t xml:space="preserve"> on 1 September 2025, while the remaining one (name on file) was injured and managed to escape. Accordingly, upon their arrest, the victims were taken by the forces of M/Gen James Nando to their station at </w:t>
      </w:r>
      <w:proofErr w:type="spellStart"/>
      <w:r w:rsidRPr="00B05CAE">
        <w:rPr>
          <w:rFonts w:asciiTheme="majorBidi" w:hAnsiTheme="majorBidi" w:cstheme="majorBidi"/>
          <w:sz w:val="24"/>
          <w:szCs w:val="24"/>
        </w:rPr>
        <w:t>Mammenze</w:t>
      </w:r>
      <w:proofErr w:type="spellEnd"/>
      <w:r w:rsidRPr="00B05CAE">
        <w:rPr>
          <w:rFonts w:asciiTheme="majorBidi" w:hAnsiTheme="majorBidi" w:cstheme="majorBidi"/>
          <w:sz w:val="24"/>
          <w:szCs w:val="24"/>
        </w:rPr>
        <w:t xml:space="preserve"> Stream Source. </w:t>
      </w:r>
    </w:p>
    <w:p w14:paraId="5277065E" w14:textId="77777777" w:rsidR="00053ED1" w:rsidRPr="00B05CAE" w:rsidRDefault="00053ED1" w:rsidP="00053ED1">
      <w:pPr>
        <w:jc w:val="both"/>
        <w:rPr>
          <w:rFonts w:asciiTheme="majorBidi" w:hAnsiTheme="majorBidi" w:cstheme="majorBidi"/>
          <w:sz w:val="24"/>
          <w:szCs w:val="24"/>
        </w:rPr>
      </w:pPr>
      <w:r w:rsidRPr="00B05CAE">
        <w:rPr>
          <w:rFonts w:asciiTheme="majorBidi" w:hAnsiTheme="majorBidi" w:cstheme="majorBidi"/>
          <w:sz w:val="24"/>
          <w:szCs w:val="24"/>
        </w:rPr>
        <w:t>According to the sources, on 1 September, four victims were shot and killed while in detention, and their bodies were later placed in a sack. Reportedly, forces under the command of Nando then ordered the remaining three victims, at gunpoint, to carry the bodies and dispose of them away from the camp. After the disposal, the three were shot at, resulting in the killing of two victims, while the third sustained a gunshot wound to the stomach but managed to escape.</w:t>
      </w:r>
    </w:p>
    <w:p w14:paraId="3B3C16CC" w14:textId="4A224628" w:rsidR="00053ED1" w:rsidRPr="00B05CAE" w:rsidRDefault="00053ED1" w:rsidP="00053ED1">
      <w:pPr>
        <w:jc w:val="both"/>
        <w:rPr>
          <w:rFonts w:asciiTheme="majorBidi" w:hAnsiTheme="majorBidi" w:cstheme="majorBidi"/>
          <w:sz w:val="24"/>
          <w:szCs w:val="24"/>
        </w:rPr>
      </w:pPr>
      <w:r w:rsidRPr="00B05CAE">
        <w:rPr>
          <w:rFonts w:asciiTheme="majorBidi" w:hAnsiTheme="majorBidi" w:cstheme="majorBidi"/>
          <w:sz w:val="24"/>
          <w:szCs w:val="24"/>
        </w:rPr>
        <w:t xml:space="preserve">On the same day, and </w:t>
      </w:r>
      <w:r w:rsidR="0007529D">
        <w:rPr>
          <w:rFonts w:asciiTheme="majorBidi" w:hAnsiTheme="majorBidi" w:cstheme="majorBidi"/>
          <w:sz w:val="24"/>
          <w:szCs w:val="24"/>
        </w:rPr>
        <w:t>before</w:t>
      </w:r>
      <w:r w:rsidRPr="00B05CAE">
        <w:rPr>
          <w:rFonts w:asciiTheme="majorBidi" w:hAnsiTheme="majorBidi" w:cstheme="majorBidi"/>
          <w:sz w:val="24"/>
          <w:szCs w:val="24"/>
        </w:rPr>
        <w:t xml:space="preserve"> the reported killings of the detainees, Nando’s men allegedly went to </w:t>
      </w:r>
      <w:proofErr w:type="spellStart"/>
      <w:r w:rsidRPr="00B05CAE">
        <w:rPr>
          <w:rFonts w:asciiTheme="majorBidi" w:hAnsiTheme="majorBidi" w:cstheme="majorBidi"/>
          <w:sz w:val="24"/>
          <w:szCs w:val="24"/>
        </w:rPr>
        <w:t>Zangia</w:t>
      </w:r>
      <w:proofErr w:type="spellEnd"/>
      <w:r w:rsidRPr="00B05CAE">
        <w:rPr>
          <w:rFonts w:asciiTheme="majorBidi" w:hAnsiTheme="majorBidi" w:cstheme="majorBidi"/>
          <w:sz w:val="24"/>
          <w:szCs w:val="24"/>
        </w:rPr>
        <w:t xml:space="preserve"> village</w:t>
      </w:r>
      <w:r w:rsidR="0007529D">
        <w:rPr>
          <w:rFonts w:asciiTheme="majorBidi" w:hAnsiTheme="majorBidi" w:cstheme="majorBidi"/>
          <w:sz w:val="24"/>
          <w:szCs w:val="24"/>
        </w:rPr>
        <w:t>. They killed</w:t>
      </w:r>
      <w:r w:rsidRPr="00B05CAE">
        <w:rPr>
          <w:rFonts w:asciiTheme="majorBidi" w:hAnsiTheme="majorBidi" w:cstheme="majorBidi"/>
          <w:sz w:val="24"/>
          <w:szCs w:val="24"/>
        </w:rPr>
        <w:t xml:space="preserve"> two men with disabilities</w:t>
      </w:r>
      <w:r w:rsidR="0007529D">
        <w:rPr>
          <w:rFonts w:asciiTheme="majorBidi" w:hAnsiTheme="majorBidi" w:cstheme="majorBidi"/>
          <w:sz w:val="24"/>
          <w:szCs w:val="24"/>
        </w:rPr>
        <w:t>,</w:t>
      </w:r>
      <w:r w:rsidRPr="00B05CAE">
        <w:rPr>
          <w:rFonts w:asciiTheme="majorBidi" w:hAnsiTheme="majorBidi" w:cstheme="majorBidi"/>
          <w:sz w:val="24"/>
          <w:szCs w:val="24"/>
        </w:rPr>
        <w:t xml:space="preserve"> one who was mentally challenged and another who was blind. In response, Balanda militias reportedly pursued Nando’s men to their base at </w:t>
      </w:r>
      <w:proofErr w:type="spellStart"/>
      <w:r w:rsidRPr="00B05CAE">
        <w:rPr>
          <w:rFonts w:asciiTheme="majorBidi" w:hAnsiTheme="majorBidi" w:cstheme="majorBidi"/>
          <w:sz w:val="24"/>
          <w:szCs w:val="24"/>
        </w:rPr>
        <w:t>Mammenze</w:t>
      </w:r>
      <w:proofErr w:type="spellEnd"/>
      <w:r w:rsidRPr="00B05CAE">
        <w:rPr>
          <w:rFonts w:asciiTheme="majorBidi" w:hAnsiTheme="majorBidi" w:cstheme="majorBidi"/>
          <w:sz w:val="24"/>
          <w:szCs w:val="24"/>
        </w:rPr>
        <w:t xml:space="preserve"> Stream, where a confrontation ensued. Shortly thereafter, Nando’s men allegedly shot the individuals who had been detained since their arrest on 12 August. </w:t>
      </w:r>
    </w:p>
    <w:p w14:paraId="3780DF8B" w14:textId="198798C3" w:rsidR="002B63AE" w:rsidRPr="00B05CAE" w:rsidRDefault="002B63AE" w:rsidP="001B7C19">
      <w:pPr>
        <w:jc w:val="both"/>
        <w:rPr>
          <w:rFonts w:asciiTheme="majorBidi" w:hAnsiTheme="majorBidi" w:cstheme="majorBidi"/>
          <w:sz w:val="24"/>
          <w:szCs w:val="24"/>
        </w:rPr>
      </w:pPr>
      <w:r w:rsidRPr="00B05CAE">
        <w:rPr>
          <w:rFonts w:asciiTheme="majorBidi" w:hAnsiTheme="majorBidi" w:cstheme="majorBidi"/>
          <w:sz w:val="24"/>
          <w:szCs w:val="24"/>
        </w:rPr>
        <w:t xml:space="preserve">This incident raises serious concerns about human rights violations allegedly committed by the SSPDF forces under Major General James Nando's command. The arbitrary arrest and detention of seven individuals, followed by the summary execution of six of them, is a grave violation of the right to life </w:t>
      </w:r>
      <w:r w:rsidRPr="00B05CAE">
        <w:rPr>
          <w:rFonts w:asciiTheme="majorBidi" w:hAnsiTheme="majorBidi" w:cstheme="majorBidi"/>
          <w:sz w:val="24"/>
          <w:szCs w:val="24"/>
        </w:rPr>
        <w:lastRenderedPageBreak/>
        <w:t>and liberty. The treatment of detainees, including being forced to carry and dispose of bodies at gunpoint, constitutes torture and cruel treatment.</w:t>
      </w:r>
    </w:p>
    <w:p w14:paraId="0BF1307A" w14:textId="73AC1AD1" w:rsidR="002B63AE" w:rsidRPr="00B05CAE" w:rsidRDefault="002B63AE" w:rsidP="002B63AE">
      <w:pPr>
        <w:jc w:val="both"/>
        <w:rPr>
          <w:rFonts w:asciiTheme="majorBidi" w:hAnsiTheme="majorBidi" w:cstheme="majorBidi"/>
          <w:sz w:val="24"/>
          <w:szCs w:val="24"/>
        </w:rPr>
      </w:pPr>
      <w:r w:rsidRPr="00B05CAE">
        <w:rPr>
          <w:rFonts w:asciiTheme="majorBidi" w:hAnsiTheme="majorBidi" w:cstheme="majorBidi"/>
          <w:sz w:val="24"/>
          <w:szCs w:val="24"/>
        </w:rPr>
        <w:t>The killing of two men with disabilities, one mentally challenged and one blind, is particularly egregious and highlights the need for greater protection of vulnerable populations. These actions appear to contravene South Sudan's Constitution, which guarantees the right to life, dignity, and protection from torture and arbitrary detention.</w:t>
      </w:r>
    </w:p>
    <w:p w14:paraId="15BD25FA" w14:textId="77777777" w:rsidR="0007529D" w:rsidRDefault="002B63AE" w:rsidP="0007529D">
      <w:pPr>
        <w:jc w:val="both"/>
        <w:rPr>
          <w:rFonts w:asciiTheme="majorBidi" w:hAnsiTheme="majorBidi" w:cstheme="majorBidi"/>
          <w:sz w:val="24"/>
          <w:szCs w:val="24"/>
        </w:rPr>
      </w:pPr>
      <w:r w:rsidRPr="00B05CAE">
        <w:rPr>
          <w:rFonts w:asciiTheme="majorBidi" w:hAnsiTheme="majorBidi" w:cstheme="majorBidi"/>
          <w:sz w:val="24"/>
          <w:szCs w:val="24"/>
        </w:rPr>
        <w:t>There is a need for prompt and impartial investigations into these alleged human rights abuses, and those responsible should be held accountable through fair and transparent judicial processes. Measures should also be taken to ensure the protection of civilians, including those in IDP camps and vulnerable populations such as persons with disabilities. Ultimately, this incident underscores the urgent need for improved human rights monitoring, reporting, and response mechanisms in the affected areas.</w:t>
      </w:r>
    </w:p>
    <w:p w14:paraId="1F705658" w14:textId="01FC321B" w:rsidR="00053ED1" w:rsidRPr="001B7C19" w:rsidRDefault="00053ED1" w:rsidP="001B7C19">
      <w:pPr>
        <w:jc w:val="both"/>
        <w:rPr>
          <w:rFonts w:asciiTheme="majorBidi" w:hAnsiTheme="majorBidi" w:cstheme="majorBidi"/>
          <w:sz w:val="24"/>
          <w:szCs w:val="24"/>
        </w:rPr>
      </w:pPr>
      <w:r w:rsidRPr="00B05CAE">
        <w:rPr>
          <w:rFonts w:asciiTheme="majorBidi" w:hAnsiTheme="majorBidi" w:cstheme="majorBidi"/>
          <w:b/>
          <w:bCs/>
          <w:i/>
          <w:iCs/>
          <w:sz w:val="24"/>
          <w:szCs w:val="24"/>
        </w:rPr>
        <w:t>Comment:</w:t>
      </w:r>
      <w:r w:rsidRPr="00B05CAE">
        <w:rPr>
          <w:rFonts w:asciiTheme="majorBidi" w:hAnsiTheme="majorBidi" w:cstheme="majorBidi"/>
          <w:i/>
          <w:iCs/>
          <w:sz w:val="24"/>
          <w:szCs w:val="24"/>
        </w:rPr>
        <w:t xml:space="preserve"> HRD has received unverified information alleging that, at the time of the arbitrary arrest and detention of the </w:t>
      </w:r>
      <w:r w:rsidR="008D4567" w:rsidRPr="00B05CAE">
        <w:rPr>
          <w:rFonts w:asciiTheme="majorBidi" w:hAnsiTheme="majorBidi" w:cstheme="majorBidi"/>
          <w:i/>
          <w:iCs/>
          <w:sz w:val="24"/>
          <w:szCs w:val="24"/>
        </w:rPr>
        <w:t>seven</w:t>
      </w:r>
      <w:r w:rsidRPr="00B05CAE">
        <w:rPr>
          <w:rFonts w:asciiTheme="majorBidi" w:hAnsiTheme="majorBidi" w:cstheme="majorBidi"/>
          <w:i/>
          <w:iCs/>
          <w:sz w:val="24"/>
          <w:szCs w:val="24"/>
        </w:rPr>
        <w:t xml:space="preserve"> individuals, a total of 18 male civilians were being held in custody. Reportedly, only three of the 18 managed to escape, while the remainder were allegedly shot and killed at different times on 1 September. Multiple sources further reported that several gunshots were heard coming from the direction of the SSPDF barracks where the victims were said to be detained. HRD has not yet been able </w:t>
      </w:r>
      <w:r w:rsidR="0007529D">
        <w:rPr>
          <w:rFonts w:asciiTheme="majorBidi" w:hAnsiTheme="majorBidi" w:cstheme="majorBidi"/>
          <w:i/>
          <w:iCs/>
          <w:sz w:val="24"/>
          <w:szCs w:val="24"/>
        </w:rPr>
        <w:t>to verify this information independently</w:t>
      </w:r>
      <w:r w:rsidRPr="00B05CAE">
        <w:rPr>
          <w:rFonts w:asciiTheme="majorBidi" w:hAnsiTheme="majorBidi" w:cstheme="majorBidi"/>
          <w:i/>
          <w:iCs/>
          <w:sz w:val="24"/>
          <w:szCs w:val="24"/>
        </w:rPr>
        <w:t>.</w:t>
      </w:r>
    </w:p>
    <w:p w14:paraId="5C119EDE" w14:textId="77777777" w:rsidR="00D8075E" w:rsidRPr="00B05CAE"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 xml:space="preserve">Conflict-Related Sexual Violence (CRSV) </w:t>
      </w:r>
    </w:p>
    <w:p w14:paraId="2B0899B2" w14:textId="77777777" w:rsidR="00D8075E" w:rsidRPr="00B05CAE"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Sexual and Gender-Based Violence (SGBV)</w:t>
      </w:r>
      <w:bookmarkStart w:id="4" w:name="_Hlk155890358"/>
    </w:p>
    <w:p w14:paraId="4B871F5F" w14:textId="77777777" w:rsidR="00D8075E" w:rsidRPr="00B05CAE" w:rsidRDefault="00D8075E" w:rsidP="00D8075E">
      <w:pPr>
        <w:spacing w:after="0" w:line="240" w:lineRule="auto"/>
        <w:contextualSpacing/>
        <w:jc w:val="both"/>
        <w:rPr>
          <w:rFonts w:asciiTheme="majorBidi" w:eastAsia="Palatino Linotype" w:hAnsiTheme="majorBidi" w:cstheme="majorBidi"/>
          <w:b/>
          <w:sz w:val="24"/>
          <w:szCs w:val="24"/>
        </w:rPr>
      </w:pPr>
    </w:p>
    <w:p w14:paraId="0CCA19C6" w14:textId="60E8E1C0" w:rsidR="00D8075E" w:rsidRPr="00B05CAE" w:rsidRDefault="00D8075E" w:rsidP="00015E6B">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B05CAE">
        <w:rPr>
          <w:rFonts w:asciiTheme="majorBidi" w:eastAsia="Palatino Linotype" w:hAnsiTheme="majorBidi" w:cstheme="majorBidi"/>
          <w:b/>
          <w:i/>
          <w:iCs/>
          <w:sz w:val="24"/>
          <w:szCs w:val="24"/>
        </w:rPr>
        <w:t xml:space="preserve">Monitoring visit to the GBV One-Stop Centre in Yambio </w:t>
      </w:r>
      <w:r w:rsidR="0007529D">
        <w:rPr>
          <w:rFonts w:asciiTheme="majorBidi" w:eastAsia="Palatino Linotype" w:hAnsiTheme="majorBidi" w:cstheme="majorBidi"/>
          <w:b/>
          <w:i/>
          <w:iCs/>
          <w:sz w:val="24"/>
          <w:szCs w:val="24"/>
        </w:rPr>
        <w:t>T</w:t>
      </w:r>
      <w:r w:rsidRPr="00B05CAE">
        <w:rPr>
          <w:rFonts w:asciiTheme="majorBidi" w:eastAsia="Palatino Linotype" w:hAnsiTheme="majorBidi" w:cstheme="majorBidi"/>
          <w:b/>
          <w:i/>
          <w:iCs/>
          <w:sz w:val="24"/>
          <w:szCs w:val="24"/>
        </w:rPr>
        <w:t xml:space="preserve">own, Yambio County </w:t>
      </w:r>
    </w:p>
    <w:p w14:paraId="549C61D9" w14:textId="77777777" w:rsidR="00430E1D" w:rsidRPr="00B05CAE" w:rsidRDefault="00430E1D" w:rsidP="00D8075E">
      <w:pPr>
        <w:spacing w:after="0" w:line="240" w:lineRule="auto"/>
        <w:contextualSpacing/>
        <w:jc w:val="both"/>
        <w:rPr>
          <w:rFonts w:asciiTheme="majorBidi" w:eastAsia="Palatino Linotype" w:hAnsiTheme="majorBidi" w:cstheme="majorBidi"/>
          <w:b/>
          <w:sz w:val="24"/>
          <w:szCs w:val="24"/>
        </w:rPr>
      </w:pPr>
    </w:p>
    <w:p w14:paraId="6B890305" w14:textId="55D44B2C" w:rsidR="005457A4" w:rsidRPr="00B05CAE" w:rsidRDefault="00430E1D" w:rsidP="00D8075E">
      <w:pPr>
        <w:spacing w:after="0" w:line="240" w:lineRule="auto"/>
        <w:contextualSpacing/>
        <w:jc w:val="both"/>
        <w:rPr>
          <w:rFonts w:asciiTheme="majorBidi" w:eastAsia="Palatino Linotype" w:hAnsiTheme="majorBidi" w:cstheme="majorBidi"/>
          <w:bCs/>
          <w:sz w:val="24"/>
          <w:szCs w:val="24"/>
        </w:rPr>
      </w:pPr>
      <w:r w:rsidRPr="00B05CAE">
        <w:rPr>
          <w:rFonts w:asciiTheme="majorBidi" w:eastAsia="Palatino Linotype" w:hAnsiTheme="majorBidi" w:cstheme="majorBidi"/>
          <w:bCs/>
          <w:sz w:val="24"/>
          <w:szCs w:val="24"/>
        </w:rPr>
        <w:t xml:space="preserve">On 3 September, HRD visited the GBV One-Stop Centre </w:t>
      </w:r>
      <w:r w:rsidR="00F8045B" w:rsidRPr="00B05CAE">
        <w:rPr>
          <w:rFonts w:asciiTheme="majorBidi" w:eastAsia="Palatino Linotype" w:hAnsiTheme="majorBidi" w:cstheme="majorBidi"/>
          <w:bCs/>
          <w:sz w:val="24"/>
          <w:szCs w:val="24"/>
        </w:rPr>
        <w:t>located at the Yambio State Hospital in Yambio Town</w:t>
      </w:r>
      <w:r w:rsidR="00015E6B" w:rsidRPr="00B05CAE">
        <w:rPr>
          <w:rFonts w:asciiTheme="majorBidi" w:eastAsia="Palatino Linotype" w:hAnsiTheme="majorBidi" w:cstheme="majorBidi"/>
          <w:bCs/>
          <w:sz w:val="24"/>
          <w:szCs w:val="24"/>
        </w:rPr>
        <w:t xml:space="preserve"> and</w:t>
      </w:r>
      <w:r w:rsidR="003C7223" w:rsidRPr="00B05CAE">
        <w:rPr>
          <w:rFonts w:asciiTheme="majorBidi" w:eastAsia="Palatino Linotype" w:hAnsiTheme="majorBidi" w:cstheme="majorBidi"/>
          <w:bCs/>
          <w:sz w:val="24"/>
          <w:szCs w:val="24"/>
        </w:rPr>
        <w:t xml:space="preserve"> met </w:t>
      </w:r>
      <w:r w:rsidR="00015E6B" w:rsidRPr="00B05CAE">
        <w:rPr>
          <w:rFonts w:asciiTheme="majorBidi" w:eastAsia="Palatino Linotype" w:hAnsiTheme="majorBidi" w:cstheme="majorBidi"/>
          <w:bCs/>
          <w:sz w:val="24"/>
          <w:szCs w:val="24"/>
        </w:rPr>
        <w:t xml:space="preserve">a </w:t>
      </w:r>
      <w:r w:rsidR="003C7223" w:rsidRPr="00B05CAE">
        <w:rPr>
          <w:rFonts w:asciiTheme="majorBidi" w:eastAsia="Palatino Linotype" w:hAnsiTheme="majorBidi" w:cstheme="majorBidi"/>
          <w:bCs/>
          <w:sz w:val="24"/>
          <w:szCs w:val="24"/>
        </w:rPr>
        <w:t>Social Worker in charge of data</w:t>
      </w:r>
      <w:r w:rsidR="0007529D">
        <w:rPr>
          <w:rFonts w:asciiTheme="majorBidi" w:eastAsia="Palatino Linotype" w:hAnsiTheme="majorBidi" w:cstheme="majorBidi"/>
          <w:bCs/>
          <w:sz w:val="24"/>
          <w:szCs w:val="24"/>
        </w:rPr>
        <w:t>,</w:t>
      </w:r>
      <w:r w:rsidR="003C7223" w:rsidRPr="00B05CAE">
        <w:rPr>
          <w:rFonts w:asciiTheme="majorBidi" w:eastAsia="Palatino Linotype" w:hAnsiTheme="majorBidi" w:cstheme="majorBidi"/>
          <w:bCs/>
          <w:sz w:val="24"/>
          <w:szCs w:val="24"/>
        </w:rPr>
        <w:t xml:space="preserve"> who shared that </w:t>
      </w:r>
      <w:r w:rsidR="0007529D">
        <w:rPr>
          <w:rFonts w:asciiTheme="majorBidi" w:eastAsia="Palatino Linotype" w:hAnsiTheme="majorBidi" w:cstheme="majorBidi"/>
          <w:bCs/>
          <w:sz w:val="24"/>
          <w:szCs w:val="24"/>
        </w:rPr>
        <w:t>23 cases of GBV were documented in August</w:t>
      </w:r>
      <w:r w:rsidR="003C7223" w:rsidRPr="00B05CAE">
        <w:rPr>
          <w:rFonts w:asciiTheme="majorBidi" w:eastAsia="Palatino Linotype" w:hAnsiTheme="majorBidi" w:cstheme="majorBidi"/>
          <w:bCs/>
          <w:sz w:val="24"/>
          <w:szCs w:val="24"/>
        </w:rPr>
        <w:t xml:space="preserve">. Out of the above total, </w:t>
      </w:r>
      <w:r w:rsidR="00DF40C7" w:rsidRPr="00B05CAE">
        <w:rPr>
          <w:rFonts w:asciiTheme="majorBidi" w:eastAsia="Palatino Linotype" w:hAnsiTheme="majorBidi" w:cstheme="majorBidi"/>
          <w:bCs/>
          <w:sz w:val="24"/>
          <w:szCs w:val="24"/>
        </w:rPr>
        <w:t>7 cases were rape</w:t>
      </w:r>
      <w:r w:rsidR="0007529D">
        <w:rPr>
          <w:rFonts w:asciiTheme="majorBidi" w:eastAsia="Palatino Linotype" w:hAnsiTheme="majorBidi" w:cstheme="majorBidi"/>
          <w:bCs/>
          <w:sz w:val="24"/>
          <w:szCs w:val="24"/>
        </w:rPr>
        <w:t xml:space="preserve">, where survivors were female minors aged between 13 and 16, and </w:t>
      </w:r>
      <w:r w:rsidR="00DF40C7" w:rsidRPr="00B05CAE">
        <w:rPr>
          <w:rFonts w:asciiTheme="majorBidi" w:eastAsia="Palatino Linotype" w:hAnsiTheme="majorBidi" w:cstheme="majorBidi"/>
          <w:bCs/>
          <w:sz w:val="24"/>
          <w:szCs w:val="24"/>
        </w:rPr>
        <w:t>3 cases were attempted rape involving female minors</w:t>
      </w:r>
      <w:r w:rsidR="00203F42" w:rsidRPr="00B05CAE">
        <w:rPr>
          <w:rFonts w:asciiTheme="majorBidi" w:eastAsia="Palatino Linotype" w:hAnsiTheme="majorBidi" w:cstheme="majorBidi"/>
          <w:bCs/>
          <w:sz w:val="24"/>
          <w:szCs w:val="24"/>
        </w:rPr>
        <w:t>. All</w:t>
      </w:r>
      <w:r w:rsidR="00DF40C7" w:rsidRPr="00B05CAE">
        <w:rPr>
          <w:rFonts w:asciiTheme="majorBidi" w:eastAsia="Palatino Linotype" w:hAnsiTheme="majorBidi" w:cstheme="majorBidi"/>
          <w:bCs/>
          <w:sz w:val="24"/>
          <w:szCs w:val="24"/>
        </w:rPr>
        <w:t xml:space="preserve"> perpetrators were </w:t>
      </w:r>
      <w:r w:rsidR="0007529D">
        <w:rPr>
          <w:rFonts w:asciiTheme="majorBidi" w:eastAsia="Palatino Linotype" w:hAnsiTheme="majorBidi" w:cstheme="majorBidi"/>
          <w:bCs/>
          <w:sz w:val="24"/>
          <w:szCs w:val="24"/>
        </w:rPr>
        <w:t>male’ adult’</w:t>
      </w:r>
      <w:r w:rsidR="00DF40C7" w:rsidRPr="00B05CAE">
        <w:rPr>
          <w:rFonts w:asciiTheme="majorBidi" w:eastAsia="Palatino Linotype" w:hAnsiTheme="majorBidi" w:cstheme="majorBidi"/>
          <w:bCs/>
          <w:sz w:val="24"/>
          <w:szCs w:val="24"/>
        </w:rPr>
        <w:t xml:space="preserve"> </w:t>
      </w:r>
      <w:r w:rsidR="00203F42" w:rsidRPr="00B05CAE">
        <w:rPr>
          <w:rFonts w:asciiTheme="majorBidi" w:eastAsia="Palatino Linotype" w:hAnsiTheme="majorBidi" w:cstheme="majorBidi"/>
          <w:bCs/>
          <w:sz w:val="24"/>
          <w:szCs w:val="24"/>
        </w:rPr>
        <w:t>civilians aged between 20 and 31</w:t>
      </w:r>
      <w:r w:rsidR="005457A4" w:rsidRPr="00B05CAE">
        <w:rPr>
          <w:rFonts w:asciiTheme="majorBidi" w:eastAsia="Palatino Linotype" w:hAnsiTheme="majorBidi" w:cstheme="majorBidi"/>
          <w:bCs/>
          <w:sz w:val="24"/>
          <w:szCs w:val="24"/>
        </w:rPr>
        <w:t xml:space="preserve">. </w:t>
      </w:r>
    </w:p>
    <w:p w14:paraId="0A924369" w14:textId="77777777" w:rsidR="00053ED1" w:rsidRPr="00B05CAE" w:rsidRDefault="00053ED1" w:rsidP="00D8075E">
      <w:pPr>
        <w:spacing w:after="0" w:line="240" w:lineRule="auto"/>
        <w:contextualSpacing/>
        <w:jc w:val="both"/>
        <w:rPr>
          <w:rFonts w:asciiTheme="majorBidi" w:eastAsia="Palatino Linotype" w:hAnsiTheme="majorBidi" w:cstheme="majorBidi"/>
          <w:bCs/>
          <w:sz w:val="24"/>
          <w:szCs w:val="24"/>
        </w:rPr>
      </w:pPr>
    </w:p>
    <w:p w14:paraId="08E236E8" w14:textId="7E4E8F6E" w:rsidR="00053ED1" w:rsidRPr="00B05CAE" w:rsidRDefault="005457A4" w:rsidP="00D8075E">
      <w:pPr>
        <w:spacing w:after="0" w:line="240" w:lineRule="auto"/>
        <w:contextualSpacing/>
        <w:jc w:val="both"/>
        <w:rPr>
          <w:rFonts w:asciiTheme="majorBidi" w:eastAsia="Palatino Linotype" w:hAnsiTheme="majorBidi" w:cstheme="majorBidi"/>
          <w:bCs/>
          <w:sz w:val="24"/>
          <w:szCs w:val="24"/>
        </w:rPr>
      </w:pPr>
      <w:r w:rsidRPr="00B05CAE">
        <w:rPr>
          <w:rFonts w:asciiTheme="majorBidi" w:eastAsia="Palatino Linotype" w:hAnsiTheme="majorBidi" w:cstheme="majorBidi"/>
          <w:bCs/>
          <w:sz w:val="24"/>
          <w:szCs w:val="24"/>
        </w:rPr>
        <w:t>Furthermore, 13 cases of domestic violence</w:t>
      </w:r>
      <w:r w:rsidR="0007529D">
        <w:rPr>
          <w:rFonts w:asciiTheme="majorBidi" w:eastAsia="Palatino Linotype" w:hAnsiTheme="majorBidi" w:cstheme="majorBidi"/>
          <w:bCs/>
          <w:sz w:val="24"/>
          <w:szCs w:val="24"/>
        </w:rPr>
        <w:t>, including physical assault, which resulted in bodily injuries,</w:t>
      </w:r>
      <w:r w:rsidR="00015E6B" w:rsidRPr="00B05CAE">
        <w:rPr>
          <w:rFonts w:asciiTheme="majorBidi" w:eastAsia="Palatino Linotype" w:hAnsiTheme="majorBidi" w:cstheme="majorBidi"/>
          <w:bCs/>
          <w:sz w:val="24"/>
          <w:szCs w:val="24"/>
        </w:rPr>
        <w:t xml:space="preserve"> </w:t>
      </w:r>
      <w:r w:rsidRPr="00B05CAE">
        <w:rPr>
          <w:rFonts w:asciiTheme="majorBidi" w:eastAsia="Palatino Linotype" w:hAnsiTheme="majorBidi" w:cstheme="majorBidi"/>
          <w:bCs/>
          <w:sz w:val="24"/>
          <w:szCs w:val="24"/>
        </w:rPr>
        <w:t xml:space="preserve">were documented. Survivors were </w:t>
      </w:r>
      <w:r w:rsidR="0007529D">
        <w:rPr>
          <w:rFonts w:asciiTheme="majorBidi" w:eastAsia="Palatino Linotype" w:hAnsiTheme="majorBidi" w:cstheme="majorBidi"/>
          <w:bCs/>
          <w:sz w:val="24"/>
          <w:szCs w:val="24"/>
        </w:rPr>
        <w:t>female adults while perpetrators were male adults,</w:t>
      </w:r>
      <w:r w:rsidRPr="00B05CAE">
        <w:rPr>
          <w:rFonts w:asciiTheme="majorBidi" w:eastAsia="Palatino Linotype" w:hAnsiTheme="majorBidi" w:cstheme="majorBidi"/>
          <w:bCs/>
          <w:sz w:val="24"/>
          <w:szCs w:val="24"/>
        </w:rPr>
        <w:t xml:space="preserve"> including a police officer and a local chief.</w:t>
      </w:r>
      <w:r w:rsidR="00015E6B" w:rsidRPr="00B05CAE">
        <w:rPr>
          <w:rFonts w:asciiTheme="majorBidi" w:eastAsia="Palatino Linotype" w:hAnsiTheme="majorBidi" w:cstheme="majorBidi"/>
          <w:bCs/>
          <w:sz w:val="24"/>
          <w:szCs w:val="24"/>
        </w:rPr>
        <w:t xml:space="preserve"> According to the records, 18 perpetrators</w:t>
      </w:r>
      <w:r w:rsidR="0007529D">
        <w:rPr>
          <w:rFonts w:asciiTheme="majorBidi" w:eastAsia="Palatino Linotype" w:hAnsiTheme="majorBidi" w:cstheme="majorBidi"/>
          <w:bCs/>
          <w:sz w:val="24"/>
          <w:szCs w:val="24"/>
        </w:rPr>
        <w:t>, including the police officer and the local chief, were from the Azande community,</w:t>
      </w:r>
      <w:r w:rsidR="00015E6B" w:rsidRPr="00B05CAE">
        <w:rPr>
          <w:rFonts w:asciiTheme="majorBidi" w:eastAsia="Palatino Linotype" w:hAnsiTheme="majorBidi" w:cstheme="majorBidi"/>
          <w:bCs/>
          <w:sz w:val="24"/>
          <w:szCs w:val="24"/>
        </w:rPr>
        <w:t xml:space="preserve"> while the remaining 05 were from the </w:t>
      </w:r>
      <w:proofErr w:type="spellStart"/>
      <w:r w:rsidR="00015E6B" w:rsidRPr="00B05CAE">
        <w:rPr>
          <w:rFonts w:asciiTheme="majorBidi" w:eastAsia="Palatino Linotype" w:hAnsiTheme="majorBidi" w:cstheme="majorBidi"/>
          <w:bCs/>
          <w:sz w:val="24"/>
          <w:szCs w:val="24"/>
        </w:rPr>
        <w:t>Moru</w:t>
      </w:r>
      <w:proofErr w:type="spellEnd"/>
      <w:r w:rsidR="00015E6B" w:rsidRPr="00B05CAE">
        <w:rPr>
          <w:rFonts w:asciiTheme="majorBidi" w:eastAsia="Palatino Linotype" w:hAnsiTheme="majorBidi" w:cstheme="majorBidi"/>
          <w:bCs/>
          <w:sz w:val="24"/>
          <w:szCs w:val="24"/>
        </w:rPr>
        <w:t xml:space="preserve"> and Balanda. All the survivors were from the Azande community. </w:t>
      </w:r>
    </w:p>
    <w:p w14:paraId="05316287" w14:textId="08DFB2FD" w:rsidR="005457A4" w:rsidRPr="00B05CAE" w:rsidRDefault="00015E6B" w:rsidP="00D8075E">
      <w:pPr>
        <w:spacing w:after="0" w:line="240" w:lineRule="auto"/>
        <w:contextualSpacing/>
        <w:jc w:val="both"/>
        <w:rPr>
          <w:rFonts w:asciiTheme="majorBidi" w:eastAsia="Palatino Linotype" w:hAnsiTheme="majorBidi" w:cstheme="majorBidi"/>
          <w:bCs/>
          <w:sz w:val="24"/>
          <w:szCs w:val="24"/>
        </w:rPr>
      </w:pPr>
      <w:r w:rsidRPr="00B05CAE">
        <w:rPr>
          <w:rFonts w:asciiTheme="majorBidi" w:eastAsia="Palatino Linotype" w:hAnsiTheme="majorBidi" w:cstheme="majorBidi"/>
          <w:bCs/>
          <w:sz w:val="24"/>
          <w:szCs w:val="24"/>
        </w:rPr>
        <w:t xml:space="preserve"> </w:t>
      </w:r>
    </w:p>
    <w:p w14:paraId="79C8425C" w14:textId="0E3EB02D" w:rsidR="00430E1D" w:rsidRPr="00B05CAE" w:rsidRDefault="005457A4" w:rsidP="00D8075E">
      <w:pPr>
        <w:spacing w:after="0" w:line="240" w:lineRule="auto"/>
        <w:contextualSpacing/>
        <w:jc w:val="both"/>
        <w:rPr>
          <w:rFonts w:asciiTheme="majorBidi" w:eastAsia="Palatino Linotype" w:hAnsiTheme="majorBidi" w:cstheme="majorBidi"/>
          <w:bCs/>
          <w:sz w:val="24"/>
          <w:szCs w:val="24"/>
        </w:rPr>
      </w:pPr>
      <w:r w:rsidRPr="00B05CAE">
        <w:rPr>
          <w:rFonts w:asciiTheme="majorBidi" w:eastAsia="Palatino Linotype" w:hAnsiTheme="majorBidi" w:cstheme="majorBidi"/>
          <w:bCs/>
          <w:sz w:val="24"/>
          <w:szCs w:val="24"/>
        </w:rPr>
        <w:t xml:space="preserve">The official shared that only five complainants pursued </w:t>
      </w:r>
      <w:r w:rsidR="0007529D">
        <w:rPr>
          <w:rFonts w:asciiTheme="majorBidi" w:eastAsia="Palatino Linotype" w:hAnsiTheme="majorBidi" w:cstheme="majorBidi"/>
          <w:bCs/>
          <w:sz w:val="24"/>
          <w:szCs w:val="24"/>
        </w:rPr>
        <w:t>legal action, while the remaining opted for an out-of-court</w:t>
      </w:r>
      <w:r w:rsidRPr="00B05CAE">
        <w:rPr>
          <w:rFonts w:asciiTheme="majorBidi" w:eastAsia="Palatino Linotype" w:hAnsiTheme="majorBidi" w:cstheme="majorBidi"/>
          <w:bCs/>
          <w:sz w:val="24"/>
          <w:szCs w:val="24"/>
        </w:rPr>
        <w:t xml:space="preserve"> settlement of the cases.  </w:t>
      </w:r>
      <w:r w:rsidR="00203F42" w:rsidRPr="00B05CAE">
        <w:rPr>
          <w:rFonts w:asciiTheme="majorBidi" w:eastAsia="Palatino Linotype" w:hAnsiTheme="majorBidi" w:cstheme="majorBidi"/>
          <w:bCs/>
          <w:sz w:val="24"/>
          <w:szCs w:val="24"/>
        </w:rPr>
        <w:t xml:space="preserve"> </w:t>
      </w:r>
    </w:p>
    <w:p w14:paraId="1820C283" w14:textId="77777777" w:rsidR="00B05CAE" w:rsidRPr="00B05CAE" w:rsidRDefault="00B05CAE" w:rsidP="00D8075E">
      <w:pPr>
        <w:spacing w:after="0" w:line="240" w:lineRule="auto"/>
        <w:contextualSpacing/>
        <w:jc w:val="both"/>
        <w:rPr>
          <w:rFonts w:asciiTheme="majorBidi" w:eastAsia="Palatino Linotype" w:hAnsiTheme="majorBidi" w:cstheme="majorBidi"/>
          <w:bCs/>
          <w:sz w:val="24"/>
          <w:szCs w:val="24"/>
        </w:rPr>
      </w:pPr>
    </w:p>
    <w:p w14:paraId="22168893" w14:textId="6BF0C5A3" w:rsidR="00B05CAE" w:rsidRPr="00B05CAE" w:rsidRDefault="00B05CAE" w:rsidP="00B05CAE">
      <w:pPr>
        <w:spacing w:after="0" w:line="240" w:lineRule="auto"/>
        <w:contextualSpacing/>
        <w:jc w:val="both"/>
        <w:rPr>
          <w:rFonts w:asciiTheme="majorBidi" w:eastAsia="Palatino Linotype" w:hAnsiTheme="majorBidi" w:cstheme="majorBidi"/>
          <w:bCs/>
          <w:i/>
          <w:iCs/>
          <w:sz w:val="24"/>
          <w:szCs w:val="24"/>
        </w:rPr>
      </w:pPr>
      <w:r w:rsidRPr="00B05CAE">
        <w:rPr>
          <w:rFonts w:asciiTheme="majorBidi" w:eastAsia="Palatino Linotype" w:hAnsiTheme="majorBidi" w:cstheme="majorBidi"/>
          <w:bCs/>
          <w:i/>
          <w:iCs/>
          <w:sz w:val="24"/>
          <w:szCs w:val="24"/>
        </w:rPr>
        <w:t xml:space="preserve">Comment: The GBV One-Stop Centre at Yambio State Hospital documented 23 cases of gender-based violence in August, highlighting a concerning trend. The cases included </w:t>
      </w:r>
      <w:r w:rsidR="0007529D">
        <w:rPr>
          <w:rFonts w:asciiTheme="majorBidi" w:eastAsia="Palatino Linotype" w:hAnsiTheme="majorBidi" w:cstheme="majorBidi"/>
          <w:bCs/>
          <w:i/>
          <w:iCs/>
          <w:sz w:val="24"/>
          <w:szCs w:val="24"/>
        </w:rPr>
        <w:t>seven</w:t>
      </w:r>
      <w:r w:rsidRPr="00B05CAE">
        <w:rPr>
          <w:rFonts w:asciiTheme="majorBidi" w:eastAsia="Palatino Linotype" w:hAnsiTheme="majorBidi" w:cstheme="majorBidi"/>
          <w:bCs/>
          <w:i/>
          <w:iCs/>
          <w:sz w:val="24"/>
          <w:szCs w:val="24"/>
        </w:rPr>
        <w:t xml:space="preserve"> reports of rape and 3 cases of attempted rape, all involving female minors aged 13-16. Additionally, 13 cases of domestic violence were reported, resulting in physical harm. Notably, the data </w:t>
      </w:r>
      <w:r w:rsidR="0007529D">
        <w:rPr>
          <w:rFonts w:asciiTheme="majorBidi" w:eastAsia="Palatino Linotype" w:hAnsiTheme="majorBidi" w:cstheme="majorBidi"/>
          <w:bCs/>
          <w:i/>
          <w:iCs/>
          <w:sz w:val="24"/>
          <w:szCs w:val="24"/>
        </w:rPr>
        <w:t>indicate</w:t>
      </w:r>
      <w:r w:rsidRPr="00B05CAE">
        <w:rPr>
          <w:rFonts w:asciiTheme="majorBidi" w:eastAsia="Palatino Linotype" w:hAnsiTheme="majorBidi" w:cstheme="majorBidi"/>
          <w:bCs/>
          <w:i/>
          <w:iCs/>
          <w:sz w:val="24"/>
          <w:szCs w:val="24"/>
        </w:rPr>
        <w:t xml:space="preserve"> that the survivors were from the Azande community. The reported </w:t>
      </w:r>
      <w:r w:rsidR="0007529D">
        <w:rPr>
          <w:rFonts w:asciiTheme="majorBidi" w:eastAsia="Palatino Linotype" w:hAnsiTheme="majorBidi" w:cstheme="majorBidi"/>
          <w:bCs/>
          <w:i/>
          <w:iCs/>
          <w:sz w:val="24"/>
          <w:szCs w:val="24"/>
        </w:rPr>
        <w:t>instances</w:t>
      </w:r>
      <w:r w:rsidRPr="00B05CAE">
        <w:rPr>
          <w:rFonts w:asciiTheme="majorBidi" w:eastAsia="Palatino Linotype" w:hAnsiTheme="majorBidi" w:cstheme="majorBidi"/>
          <w:bCs/>
          <w:i/>
          <w:iCs/>
          <w:sz w:val="24"/>
          <w:szCs w:val="24"/>
        </w:rPr>
        <w:t xml:space="preserve"> also mention individuals associated with the Azande, </w:t>
      </w:r>
      <w:proofErr w:type="spellStart"/>
      <w:r w:rsidRPr="00B05CAE">
        <w:rPr>
          <w:rFonts w:asciiTheme="majorBidi" w:eastAsia="Palatino Linotype" w:hAnsiTheme="majorBidi" w:cstheme="majorBidi"/>
          <w:bCs/>
          <w:i/>
          <w:iCs/>
          <w:sz w:val="24"/>
          <w:szCs w:val="24"/>
        </w:rPr>
        <w:t>Moru</w:t>
      </w:r>
      <w:proofErr w:type="spellEnd"/>
      <w:r w:rsidRPr="00B05CAE">
        <w:rPr>
          <w:rFonts w:asciiTheme="majorBidi" w:eastAsia="Palatino Linotype" w:hAnsiTheme="majorBidi" w:cstheme="majorBidi"/>
          <w:bCs/>
          <w:i/>
          <w:iCs/>
          <w:sz w:val="24"/>
          <w:szCs w:val="24"/>
        </w:rPr>
        <w:t xml:space="preserve">, and Balanda communities. The low number of cases pursued through the legal system, with only </w:t>
      </w:r>
      <w:r w:rsidR="0007529D">
        <w:rPr>
          <w:rFonts w:asciiTheme="majorBidi" w:eastAsia="Palatino Linotype" w:hAnsiTheme="majorBidi" w:cstheme="majorBidi"/>
          <w:bCs/>
          <w:i/>
          <w:iCs/>
          <w:sz w:val="24"/>
          <w:szCs w:val="24"/>
        </w:rPr>
        <w:t>five</w:t>
      </w:r>
      <w:r w:rsidRPr="00B05CAE">
        <w:rPr>
          <w:rFonts w:asciiTheme="majorBidi" w:eastAsia="Palatino Linotype" w:hAnsiTheme="majorBidi" w:cstheme="majorBidi"/>
          <w:bCs/>
          <w:i/>
          <w:iCs/>
          <w:sz w:val="24"/>
          <w:szCs w:val="24"/>
        </w:rPr>
        <w:t xml:space="preserve"> complainants reportedly doing so, raises questions about access to justice and the </w:t>
      </w:r>
      <w:r w:rsidRPr="00B05CAE">
        <w:rPr>
          <w:rFonts w:asciiTheme="majorBidi" w:eastAsia="Palatino Linotype" w:hAnsiTheme="majorBidi" w:cstheme="majorBidi"/>
          <w:bCs/>
          <w:i/>
          <w:iCs/>
          <w:sz w:val="24"/>
          <w:szCs w:val="24"/>
        </w:rPr>
        <w:lastRenderedPageBreak/>
        <w:t>effectiveness of support systems for survivors. The prevalence of out-of-court settlements may indicate a need for further examination of the support structures in place for survivors of GBV.</w:t>
      </w:r>
    </w:p>
    <w:p w14:paraId="2A0A198A" w14:textId="77777777" w:rsidR="00D8075E" w:rsidRPr="00B05CAE" w:rsidRDefault="00D8075E" w:rsidP="00D8075E">
      <w:pPr>
        <w:spacing w:after="0" w:line="240" w:lineRule="auto"/>
        <w:contextualSpacing/>
        <w:jc w:val="both"/>
        <w:rPr>
          <w:rFonts w:asciiTheme="majorBidi" w:eastAsia="Palatino Linotype" w:hAnsiTheme="majorBidi" w:cstheme="majorBidi"/>
          <w:b/>
          <w:sz w:val="24"/>
          <w:szCs w:val="24"/>
        </w:rPr>
      </w:pPr>
    </w:p>
    <w:p w14:paraId="03FCFC7D" w14:textId="77777777" w:rsidR="00D8075E" w:rsidRPr="00B05CAE"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Civic Space and Participation</w:t>
      </w:r>
    </w:p>
    <w:p w14:paraId="1B6EEB14" w14:textId="77777777" w:rsidR="00D8075E" w:rsidRPr="00B05CAE"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Judicial Accountabilit</w:t>
      </w:r>
      <w:bookmarkStart w:id="5" w:name="_Hlk191306961"/>
      <w:r w:rsidRPr="00B05CAE">
        <w:rPr>
          <w:rFonts w:asciiTheme="majorBidi" w:eastAsia="Palatino Linotype" w:hAnsiTheme="majorBidi" w:cstheme="majorBidi"/>
          <w:b/>
          <w:sz w:val="24"/>
          <w:szCs w:val="24"/>
        </w:rPr>
        <w:t>y</w:t>
      </w:r>
    </w:p>
    <w:bookmarkEnd w:id="5"/>
    <w:p w14:paraId="093D236E" w14:textId="77777777" w:rsidR="00D8075E" w:rsidRPr="00B05CAE"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Transitional Justice</w:t>
      </w:r>
    </w:p>
    <w:p w14:paraId="0984D92E" w14:textId="77777777" w:rsidR="00D8075E" w:rsidRPr="00B05CAE"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Engagements and Capacity Building</w:t>
      </w:r>
      <w:r w:rsidRPr="00B05CAE">
        <w:rPr>
          <w:rFonts w:asciiTheme="majorBidi" w:eastAsia="Palatino Linotype" w:hAnsiTheme="majorBidi" w:cstheme="majorBidi"/>
          <w:bCs/>
          <w:sz w:val="24"/>
          <w:szCs w:val="24"/>
        </w:rPr>
        <w:t xml:space="preserve"> </w:t>
      </w:r>
      <w:r w:rsidRPr="00B05CAE">
        <w:rPr>
          <w:rFonts w:asciiTheme="majorBidi" w:hAnsiTheme="majorBidi" w:cstheme="majorBidi"/>
          <w:sz w:val="24"/>
          <w:szCs w:val="24"/>
        </w:rPr>
        <w:t xml:space="preserve"> </w:t>
      </w:r>
    </w:p>
    <w:p w14:paraId="488C5F40" w14:textId="77777777" w:rsidR="00D8075E" w:rsidRPr="00B05CAE" w:rsidRDefault="00D8075E" w:rsidP="00D8075E">
      <w:pPr>
        <w:numPr>
          <w:ilvl w:val="0"/>
          <w:numId w:val="1"/>
        </w:numPr>
        <w:spacing w:after="0"/>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Other Key Human Rights and Protection Conce</w:t>
      </w:r>
      <w:bookmarkEnd w:id="4"/>
      <w:r w:rsidRPr="00B05CAE">
        <w:rPr>
          <w:rFonts w:asciiTheme="majorBidi" w:eastAsia="Palatino Linotype" w:hAnsiTheme="majorBidi" w:cstheme="majorBidi"/>
          <w:b/>
          <w:sz w:val="24"/>
          <w:szCs w:val="24"/>
        </w:rPr>
        <w:t>rns</w:t>
      </w:r>
      <w:r w:rsidRPr="00B05CAE">
        <w:rPr>
          <w:rFonts w:asciiTheme="majorBidi" w:hAnsiTheme="majorBidi" w:cstheme="majorBidi"/>
          <w:sz w:val="24"/>
          <w:szCs w:val="24"/>
        </w:rPr>
        <w:t xml:space="preserve">. </w:t>
      </w:r>
    </w:p>
    <w:p w14:paraId="16D9557A" w14:textId="77777777" w:rsidR="00D8075E" w:rsidRPr="00B05CAE" w:rsidRDefault="00D8075E">
      <w:pPr>
        <w:rPr>
          <w:sz w:val="24"/>
          <w:szCs w:val="24"/>
        </w:rPr>
      </w:pPr>
    </w:p>
    <w:sectPr w:rsidR="00D8075E" w:rsidRPr="00B05CAE" w:rsidSect="00D8075E">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075DD" w14:textId="77777777" w:rsidR="008643B5" w:rsidRDefault="008643B5" w:rsidP="00015E6B">
      <w:pPr>
        <w:spacing w:after="0" w:line="240" w:lineRule="auto"/>
      </w:pPr>
      <w:r>
        <w:separator/>
      </w:r>
    </w:p>
  </w:endnote>
  <w:endnote w:type="continuationSeparator" w:id="0">
    <w:p w14:paraId="49791E32" w14:textId="77777777" w:rsidR="008643B5" w:rsidRDefault="008643B5" w:rsidP="00015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D12621B" w14:textId="77777777" w:rsidR="00407232" w:rsidRDefault="001C3714">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54A7827" w14:textId="45A59A40" w:rsidR="00407232" w:rsidRPr="00182875" w:rsidRDefault="001C3714"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2025090</w:t>
        </w:r>
        <w:r w:rsidR="00015E6B">
          <w:rPr>
            <w:rFonts w:ascii="Times New Roman" w:hAnsi="Times New Roman" w:cs="Times New Roman"/>
            <w:color w:val="0070C0"/>
            <w:sz w:val="20"/>
            <w:szCs w:val="20"/>
          </w:rPr>
          <w:t>3</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4F061E9" w14:textId="77777777" w:rsidR="00407232" w:rsidRDefault="00407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461A1" w14:textId="77777777" w:rsidR="008643B5" w:rsidRDefault="008643B5" w:rsidP="00015E6B">
      <w:pPr>
        <w:spacing w:after="0" w:line="240" w:lineRule="auto"/>
      </w:pPr>
      <w:r>
        <w:separator/>
      </w:r>
    </w:p>
  </w:footnote>
  <w:footnote w:type="continuationSeparator" w:id="0">
    <w:p w14:paraId="4A889E37" w14:textId="77777777" w:rsidR="008643B5" w:rsidRDefault="008643B5" w:rsidP="00015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F630" w14:textId="77777777" w:rsidR="00407232" w:rsidRDefault="001C3714">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1F2D914A" w14:textId="77777777" w:rsidR="00407232" w:rsidRPr="00182875" w:rsidRDefault="0040723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BFEAE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B97438"/>
    <w:multiLevelType w:val="hybridMultilevel"/>
    <w:tmpl w:val="A980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650241"/>
    <w:multiLevelType w:val="hybridMultilevel"/>
    <w:tmpl w:val="7232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2112822148">
    <w:abstractNumId w:val="2"/>
  </w:num>
  <w:num w:numId="4" w16cid:durableId="516895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5E"/>
    <w:rsid w:val="00005110"/>
    <w:rsid w:val="00015E6B"/>
    <w:rsid w:val="00053ED1"/>
    <w:rsid w:val="0007529D"/>
    <w:rsid w:val="001B7C19"/>
    <w:rsid w:val="001C3714"/>
    <w:rsid w:val="00203F42"/>
    <w:rsid w:val="002B63AE"/>
    <w:rsid w:val="003C7223"/>
    <w:rsid w:val="00407232"/>
    <w:rsid w:val="00430E1D"/>
    <w:rsid w:val="005457A4"/>
    <w:rsid w:val="005B3886"/>
    <w:rsid w:val="00664CFD"/>
    <w:rsid w:val="008643B5"/>
    <w:rsid w:val="008D4567"/>
    <w:rsid w:val="00B05CAE"/>
    <w:rsid w:val="00D8075E"/>
    <w:rsid w:val="00DD4B20"/>
    <w:rsid w:val="00DF40C7"/>
    <w:rsid w:val="00F804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DD36ADD"/>
  <w15:chartTrackingRefBased/>
  <w15:docId w15:val="{7919941D-9EB0-4B25-AB3D-5A3F8D1A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75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80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5E"/>
    <w:rPr>
      <w:rFonts w:eastAsiaTheme="majorEastAsia" w:cstheme="majorBidi"/>
      <w:color w:val="272727" w:themeColor="text1" w:themeTint="D8"/>
    </w:rPr>
  </w:style>
  <w:style w:type="paragraph" w:styleId="Title">
    <w:name w:val="Title"/>
    <w:basedOn w:val="Normal"/>
    <w:next w:val="Normal"/>
    <w:link w:val="TitleChar"/>
    <w:uiPriority w:val="10"/>
    <w:qFormat/>
    <w:rsid w:val="00D80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5E"/>
    <w:pPr>
      <w:spacing w:before="160"/>
      <w:jc w:val="center"/>
    </w:pPr>
    <w:rPr>
      <w:i/>
      <w:iCs/>
      <w:color w:val="404040" w:themeColor="text1" w:themeTint="BF"/>
    </w:rPr>
  </w:style>
  <w:style w:type="character" w:customStyle="1" w:styleId="QuoteChar">
    <w:name w:val="Quote Char"/>
    <w:basedOn w:val="DefaultParagraphFont"/>
    <w:link w:val="Quote"/>
    <w:uiPriority w:val="29"/>
    <w:rsid w:val="00D8075E"/>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D8075E"/>
    <w:pPr>
      <w:ind w:left="720"/>
      <w:contextualSpacing/>
    </w:pPr>
  </w:style>
  <w:style w:type="character" w:styleId="IntenseEmphasis">
    <w:name w:val="Intense Emphasis"/>
    <w:basedOn w:val="DefaultParagraphFont"/>
    <w:uiPriority w:val="21"/>
    <w:qFormat/>
    <w:rsid w:val="00D8075E"/>
    <w:rPr>
      <w:i/>
      <w:iCs/>
      <w:color w:val="0F4761" w:themeColor="accent1" w:themeShade="BF"/>
    </w:rPr>
  </w:style>
  <w:style w:type="paragraph" w:styleId="IntenseQuote">
    <w:name w:val="Intense Quote"/>
    <w:basedOn w:val="Normal"/>
    <w:next w:val="Normal"/>
    <w:link w:val="IntenseQuoteChar"/>
    <w:uiPriority w:val="30"/>
    <w:qFormat/>
    <w:rsid w:val="00D80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5E"/>
    <w:rPr>
      <w:i/>
      <w:iCs/>
      <w:color w:val="0F4761" w:themeColor="accent1" w:themeShade="BF"/>
    </w:rPr>
  </w:style>
  <w:style w:type="character" w:styleId="IntenseReference">
    <w:name w:val="Intense Reference"/>
    <w:basedOn w:val="DefaultParagraphFont"/>
    <w:uiPriority w:val="32"/>
    <w:qFormat/>
    <w:rsid w:val="00D8075E"/>
    <w:rPr>
      <w:b/>
      <w:bCs/>
      <w:smallCaps/>
      <w:color w:val="0F4761" w:themeColor="accent1" w:themeShade="BF"/>
      <w:spacing w:val="5"/>
    </w:rPr>
  </w:style>
  <w:style w:type="paragraph" w:styleId="Footer">
    <w:name w:val="footer"/>
    <w:basedOn w:val="Normal"/>
    <w:link w:val="FooterChar"/>
    <w:uiPriority w:val="99"/>
    <w:unhideWhenUsed/>
    <w:rsid w:val="00D80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75E"/>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8075E"/>
  </w:style>
  <w:style w:type="paragraph" w:styleId="Header">
    <w:name w:val="header"/>
    <w:basedOn w:val="Normal"/>
    <w:link w:val="HeaderChar"/>
    <w:uiPriority w:val="99"/>
    <w:unhideWhenUsed/>
    <w:rsid w:val="00015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E6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954</Words>
  <Characters>5304</Characters>
  <Application>Microsoft Office Word</Application>
  <DocSecurity>0</DocSecurity>
  <Lines>94</Lines>
  <Paragraphs>36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2025-09-03T16:15:00Z</dcterms:created>
  <dcterms:modified xsi:type="dcterms:W3CDTF">2025-09-03T16:15:00Z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1385647b-a6d1-4322-a923-416645c44cd7</vt:lpwstr>
  </property>
</Properties>
</file>