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8252156"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81277C3" w:rsidR="00C86453" w:rsidRPr="00E568D8" w:rsidRDefault="0097752F"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0A415110" w14:textId="77777777" w:rsidR="00171E0A" w:rsidRPr="0097752F" w:rsidRDefault="00171E0A" w:rsidP="00171E0A">
      <w:pPr>
        <w:pStyle w:val="ListParagraph"/>
        <w:numPr>
          <w:ilvl w:val="0"/>
          <w:numId w:val="68"/>
        </w:numPr>
        <w:spacing w:after="0"/>
        <w:rPr>
          <w:rFonts w:asciiTheme="majorBidi" w:eastAsia="Palatino Linotype" w:hAnsiTheme="majorBidi" w:cstheme="majorBidi"/>
          <w:b/>
          <w:sz w:val="24"/>
          <w:szCs w:val="24"/>
        </w:rPr>
      </w:pPr>
      <w:bookmarkStart w:id="3" w:name="_Hlk207633224"/>
      <w:bookmarkEnd w:id="1"/>
      <w:bookmarkEnd w:id="2"/>
      <w:r w:rsidRPr="0097752F">
        <w:rPr>
          <w:rFonts w:asciiTheme="majorBidi" w:eastAsia="Palatino Linotype" w:hAnsiTheme="majorBidi" w:cstheme="majorBidi"/>
          <w:b/>
          <w:sz w:val="24"/>
          <w:szCs w:val="24"/>
        </w:rPr>
        <w:t xml:space="preserve">Arbitrary </w:t>
      </w:r>
      <w:r>
        <w:rPr>
          <w:rFonts w:asciiTheme="majorBidi" w:eastAsia="Palatino Linotype" w:hAnsiTheme="majorBidi" w:cstheme="majorBidi"/>
          <w:b/>
          <w:sz w:val="24"/>
          <w:szCs w:val="24"/>
        </w:rPr>
        <w:t>a</w:t>
      </w:r>
      <w:r w:rsidRPr="0097752F">
        <w:rPr>
          <w:rFonts w:asciiTheme="majorBidi" w:eastAsia="Palatino Linotype" w:hAnsiTheme="majorBidi" w:cstheme="majorBidi"/>
          <w:b/>
          <w:sz w:val="24"/>
          <w:szCs w:val="24"/>
        </w:rPr>
        <w:t xml:space="preserve">rrest and </w:t>
      </w:r>
      <w:r>
        <w:rPr>
          <w:rFonts w:asciiTheme="majorBidi" w:eastAsia="Palatino Linotype" w:hAnsiTheme="majorBidi" w:cstheme="majorBidi"/>
          <w:b/>
          <w:sz w:val="24"/>
          <w:szCs w:val="24"/>
        </w:rPr>
        <w:t>d</w:t>
      </w:r>
      <w:r w:rsidRPr="0097752F">
        <w:rPr>
          <w:rFonts w:asciiTheme="majorBidi" w:eastAsia="Palatino Linotype" w:hAnsiTheme="majorBidi" w:cstheme="majorBidi"/>
          <w:b/>
          <w:sz w:val="24"/>
          <w:szCs w:val="24"/>
        </w:rPr>
        <w:t xml:space="preserve">etention of </w:t>
      </w:r>
      <w:r>
        <w:rPr>
          <w:rFonts w:asciiTheme="majorBidi" w:eastAsia="Palatino Linotype" w:hAnsiTheme="majorBidi" w:cstheme="majorBidi"/>
          <w:b/>
          <w:sz w:val="24"/>
          <w:szCs w:val="24"/>
        </w:rPr>
        <w:t>three c</w:t>
      </w:r>
      <w:r w:rsidRPr="0097752F">
        <w:rPr>
          <w:rFonts w:asciiTheme="majorBidi" w:eastAsia="Palatino Linotype" w:hAnsiTheme="majorBidi" w:cstheme="majorBidi"/>
          <w:b/>
          <w:sz w:val="24"/>
          <w:szCs w:val="24"/>
        </w:rPr>
        <w:t>ivilians</w:t>
      </w:r>
      <w:r>
        <w:rPr>
          <w:rFonts w:asciiTheme="majorBidi" w:eastAsia="Palatino Linotype" w:hAnsiTheme="majorBidi" w:cstheme="majorBidi"/>
          <w:b/>
          <w:sz w:val="24"/>
          <w:szCs w:val="24"/>
        </w:rPr>
        <w:t xml:space="preserve"> aged 36, 38 and 40 years old of Nuer ethnicity perpetrated by SSPDF (Tiger Division)</w:t>
      </w:r>
      <w:r w:rsidRPr="0097752F">
        <w:rPr>
          <w:rFonts w:asciiTheme="majorBidi" w:eastAsia="Palatino Linotype" w:hAnsiTheme="majorBidi" w:cstheme="majorBidi"/>
          <w:b/>
          <w:sz w:val="24"/>
          <w:szCs w:val="24"/>
        </w:rPr>
        <w:t xml:space="preserve"> in Hai </w:t>
      </w:r>
      <w:proofErr w:type="spellStart"/>
      <w:r w:rsidRPr="0097752F">
        <w:rPr>
          <w:rFonts w:asciiTheme="majorBidi" w:eastAsia="Palatino Linotype" w:hAnsiTheme="majorBidi" w:cstheme="majorBidi"/>
          <w:b/>
          <w:sz w:val="24"/>
          <w:szCs w:val="24"/>
        </w:rPr>
        <w:t>Thoura</w:t>
      </w:r>
      <w:proofErr w:type="spellEnd"/>
      <w:r w:rsidRPr="0097752F">
        <w:rPr>
          <w:rFonts w:asciiTheme="majorBidi" w:eastAsia="Palatino Linotype" w:hAnsiTheme="majorBidi" w:cstheme="majorBidi"/>
          <w:b/>
          <w:sz w:val="24"/>
          <w:szCs w:val="24"/>
        </w:rPr>
        <w:t xml:space="preserve"> residential area in Juba on 26 August 2025</w:t>
      </w:r>
      <w:r>
        <w:rPr>
          <w:rFonts w:asciiTheme="majorBidi" w:eastAsia="Palatino Linotype" w:hAnsiTheme="majorBidi" w:cstheme="majorBidi"/>
          <w:b/>
          <w:sz w:val="24"/>
          <w:szCs w:val="24"/>
        </w:rPr>
        <w:t>.</w:t>
      </w:r>
    </w:p>
    <w:bookmarkEnd w:id="3"/>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842DF40" w14:textId="08D81D0D" w:rsidR="00431932" w:rsidRPr="00164BC7" w:rsidRDefault="00F64818" w:rsidP="00164BC7">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E36A84B" w14:textId="0A8FDAB6" w:rsidR="00164BC7" w:rsidRPr="0097752F" w:rsidRDefault="00833B85" w:rsidP="0097752F">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97752F">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97752F">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8101C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7FB5DD3E" w14:textId="483DF4CE" w:rsidR="0097752F" w:rsidRPr="0097752F" w:rsidRDefault="0097752F" w:rsidP="0097752F">
      <w:pPr>
        <w:pStyle w:val="ListParagraph"/>
        <w:numPr>
          <w:ilvl w:val="0"/>
          <w:numId w:val="68"/>
        </w:numPr>
        <w:spacing w:after="0"/>
        <w:rPr>
          <w:rFonts w:asciiTheme="majorBidi" w:eastAsia="Palatino Linotype" w:hAnsiTheme="majorBidi" w:cstheme="majorBidi"/>
          <w:b/>
          <w:sz w:val="24"/>
          <w:szCs w:val="24"/>
        </w:rPr>
      </w:pPr>
      <w:bookmarkStart w:id="5" w:name="_Hlk207628808"/>
      <w:r w:rsidRPr="0097752F">
        <w:rPr>
          <w:rFonts w:asciiTheme="majorBidi" w:eastAsia="Palatino Linotype" w:hAnsiTheme="majorBidi" w:cstheme="majorBidi"/>
          <w:b/>
          <w:sz w:val="24"/>
          <w:szCs w:val="24"/>
        </w:rPr>
        <w:t xml:space="preserve">Arbitrary </w:t>
      </w:r>
      <w:r>
        <w:rPr>
          <w:rFonts w:asciiTheme="majorBidi" w:eastAsia="Palatino Linotype" w:hAnsiTheme="majorBidi" w:cstheme="majorBidi"/>
          <w:b/>
          <w:sz w:val="24"/>
          <w:szCs w:val="24"/>
        </w:rPr>
        <w:t>a</w:t>
      </w:r>
      <w:r w:rsidRPr="0097752F">
        <w:rPr>
          <w:rFonts w:asciiTheme="majorBidi" w:eastAsia="Palatino Linotype" w:hAnsiTheme="majorBidi" w:cstheme="majorBidi"/>
          <w:b/>
          <w:sz w:val="24"/>
          <w:szCs w:val="24"/>
        </w:rPr>
        <w:t xml:space="preserve">rrest and </w:t>
      </w:r>
      <w:r>
        <w:rPr>
          <w:rFonts w:asciiTheme="majorBidi" w:eastAsia="Palatino Linotype" w:hAnsiTheme="majorBidi" w:cstheme="majorBidi"/>
          <w:b/>
          <w:sz w:val="24"/>
          <w:szCs w:val="24"/>
        </w:rPr>
        <w:t>d</w:t>
      </w:r>
      <w:r w:rsidRPr="0097752F">
        <w:rPr>
          <w:rFonts w:asciiTheme="majorBidi" w:eastAsia="Palatino Linotype" w:hAnsiTheme="majorBidi" w:cstheme="majorBidi"/>
          <w:b/>
          <w:sz w:val="24"/>
          <w:szCs w:val="24"/>
        </w:rPr>
        <w:t xml:space="preserve">etention of </w:t>
      </w:r>
      <w:r>
        <w:rPr>
          <w:rFonts w:asciiTheme="majorBidi" w:eastAsia="Palatino Linotype" w:hAnsiTheme="majorBidi" w:cstheme="majorBidi"/>
          <w:b/>
          <w:sz w:val="24"/>
          <w:szCs w:val="24"/>
        </w:rPr>
        <w:t>three c</w:t>
      </w:r>
      <w:r w:rsidRPr="0097752F">
        <w:rPr>
          <w:rFonts w:asciiTheme="majorBidi" w:eastAsia="Palatino Linotype" w:hAnsiTheme="majorBidi" w:cstheme="majorBidi"/>
          <w:b/>
          <w:sz w:val="24"/>
          <w:szCs w:val="24"/>
        </w:rPr>
        <w:t>ivilians</w:t>
      </w:r>
      <w:r>
        <w:rPr>
          <w:rFonts w:asciiTheme="majorBidi" w:eastAsia="Palatino Linotype" w:hAnsiTheme="majorBidi" w:cstheme="majorBidi"/>
          <w:b/>
          <w:sz w:val="24"/>
          <w:szCs w:val="24"/>
        </w:rPr>
        <w:t xml:space="preserve"> aged 36, 38 and 40 years old of Nuer ethnicity perpetrated by SSPDF (Tiger Division)</w:t>
      </w:r>
      <w:r w:rsidRPr="0097752F">
        <w:rPr>
          <w:rFonts w:asciiTheme="majorBidi" w:eastAsia="Palatino Linotype" w:hAnsiTheme="majorBidi" w:cstheme="majorBidi"/>
          <w:b/>
          <w:sz w:val="24"/>
          <w:szCs w:val="24"/>
        </w:rPr>
        <w:t xml:space="preserve"> in Hai </w:t>
      </w:r>
      <w:proofErr w:type="spellStart"/>
      <w:r w:rsidRPr="0097752F">
        <w:rPr>
          <w:rFonts w:asciiTheme="majorBidi" w:eastAsia="Palatino Linotype" w:hAnsiTheme="majorBidi" w:cstheme="majorBidi"/>
          <w:b/>
          <w:sz w:val="24"/>
          <w:szCs w:val="24"/>
        </w:rPr>
        <w:t>Thoura</w:t>
      </w:r>
      <w:proofErr w:type="spellEnd"/>
      <w:r w:rsidRPr="0097752F">
        <w:rPr>
          <w:rFonts w:asciiTheme="majorBidi" w:eastAsia="Palatino Linotype" w:hAnsiTheme="majorBidi" w:cstheme="majorBidi"/>
          <w:b/>
          <w:sz w:val="24"/>
          <w:szCs w:val="24"/>
        </w:rPr>
        <w:t xml:space="preserve"> residential area in Juba on 26 August 2025</w:t>
      </w:r>
      <w:r>
        <w:rPr>
          <w:rFonts w:asciiTheme="majorBidi" w:eastAsia="Palatino Linotype" w:hAnsiTheme="majorBidi" w:cstheme="majorBidi"/>
          <w:b/>
          <w:sz w:val="24"/>
          <w:szCs w:val="24"/>
        </w:rPr>
        <w:t>.</w:t>
      </w:r>
    </w:p>
    <w:bookmarkEnd w:id="5"/>
    <w:p w14:paraId="7EF59466" w14:textId="77777777" w:rsidR="0097752F" w:rsidRPr="0097752F" w:rsidRDefault="0097752F" w:rsidP="0097752F">
      <w:pPr>
        <w:spacing w:after="0"/>
        <w:rPr>
          <w:rFonts w:asciiTheme="majorBidi" w:eastAsia="Palatino Linotype" w:hAnsiTheme="majorBidi" w:cstheme="majorBidi"/>
          <w:b/>
          <w:sz w:val="24"/>
          <w:szCs w:val="24"/>
        </w:rPr>
      </w:pPr>
    </w:p>
    <w:p w14:paraId="2E4AF714" w14:textId="2818BEBF" w:rsidR="0097752F" w:rsidRPr="0097752F" w:rsidRDefault="0097752F" w:rsidP="0097752F">
      <w:pPr>
        <w:spacing w:after="0"/>
        <w:jc w:val="both"/>
        <w:rPr>
          <w:rFonts w:asciiTheme="majorBidi" w:eastAsia="Palatino Linotype" w:hAnsiTheme="majorBidi" w:cstheme="majorBidi"/>
          <w:bCs/>
          <w:sz w:val="24"/>
          <w:szCs w:val="24"/>
        </w:rPr>
      </w:pPr>
      <w:r w:rsidRPr="0097752F">
        <w:rPr>
          <w:rFonts w:asciiTheme="majorBidi" w:eastAsia="Palatino Linotype" w:hAnsiTheme="majorBidi" w:cstheme="majorBidi"/>
          <w:bCs/>
          <w:sz w:val="24"/>
          <w:szCs w:val="24"/>
        </w:rPr>
        <w:t>On 1 September 2025, HRD</w:t>
      </w:r>
      <w:r>
        <w:rPr>
          <w:rFonts w:asciiTheme="majorBidi" w:eastAsia="Palatino Linotype" w:hAnsiTheme="majorBidi" w:cstheme="majorBidi"/>
          <w:bCs/>
          <w:sz w:val="24"/>
          <w:szCs w:val="24"/>
        </w:rPr>
        <w:t xml:space="preserve"> </w:t>
      </w:r>
      <w:r w:rsidRPr="0097752F">
        <w:rPr>
          <w:rFonts w:asciiTheme="majorBidi" w:eastAsia="Palatino Linotype" w:hAnsiTheme="majorBidi" w:cstheme="majorBidi"/>
          <w:bCs/>
          <w:sz w:val="24"/>
          <w:szCs w:val="24"/>
        </w:rPr>
        <w:t xml:space="preserve">interviewed a relative of </w:t>
      </w:r>
      <w:r>
        <w:rPr>
          <w:rFonts w:asciiTheme="majorBidi" w:eastAsia="Palatino Linotype" w:hAnsiTheme="majorBidi" w:cstheme="majorBidi"/>
          <w:bCs/>
          <w:sz w:val="24"/>
          <w:szCs w:val="24"/>
        </w:rPr>
        <w:t xml:space="preserve">the </w:t>
      </w:r>
      <w:r w:rsidRPr="0097752F">
        <w:rPr>
          <w:rFonts w:asciiTheme="majorBidi" w:eastAsia="Palatino Linotype" w:hAnsiTheme="majorBidi" w:cstheme="majorBidi"/>
          <w:bCs/>
          <w:sz w:val="24"/>
          <w:szCs w:val="24"/>
        </w:rPr>
        <w:t>three victims to confirm reports of arbitrary</w:t>
      </w:r>
      <w:r>
        <w:rPr>
          <w:rFonts w:asciiTheme="majorBidi" w:eastAsia="Palatino Linotype" w:hAnsiTheme="majorBidi" w:cstheme="majorBidi"/>
          <w:bCs/>
          <w:sz w:val="24"/>
          <w:szCs w:val="24"/>
        </w:rPr>
        <w:t xml:space="preserve"> arrest and</w:t>
      </w:r>
      <w:r w:rsidRPr="0097752F">
        <w:rPr>
          <w:rFonts w:asciiTheme="majorBidi" w:eastAsia="Palatino Linotype" w:hAnsiTheme="majorBidi" w:cstheme="majorBidi"/>
          <w:bCs/>
          <w:sz w:val="24"/>
          <w:szCs w:val="24"/>
        </w:rPr>
        <w:t xml:space="preserve"> detention of civilians of Nuer ethnicity in the Hai </w:t>
      </w:r>
      <w:proofErr w:type="spellStart"/>
      <w:r w:rsidRPr="0097752F">
        <w:rPr>
          <w:rFonts w:asciiTheme="majorBidi" w:eastAsia="Palatino Linotype" w:hAnsiTheme="majorBidi" w:cstheme="majorBidi"/>
          <w:bCs/>
          <w:sz w:val="24"/>
          <w:szCs w:val="24"/>
        </w:rPr>
        <w:t>Thoura</w:t>
      </w:r>
      <w:proofErr w:type="spellEnd"/>
      <w:r w:rsidRPr="0097752F">
        <w:rPr>
          <w:rFonts w:asciiTheme="majorBidi" w:eastAsia="Palatino Linotype" w:hAnsiTheme="majorBidi" w:cstheme="majorBidi"/>
          <w:bCs/>
          <w:sz w:val="24"/>
          <w:szCs w:val="24"/>
        </w:rPr>
        <w:t xml:space="preserve"> residential area, Juba, on 26 August 2025. The source confirmed that the victims—three civilian men, including one returnee from abroad and two recent university graduates—were seized near a tea stall close to the University of Juba by members of the security forces.</w:t>
      </w:r>
    </w:p>
    <w:p w14:paraId="0CF59502" w14:textId="77777777" w:rsidR="0097752F" w:rsidRPr="0097752F" w:rsidRDefault="0097752F" w:rsidP="0097752F">
      <w:pPr>
        <w:spacing w:after="0"/>
        <w:jc w:val="both"/>
        <w:rPr>
          <w:rFonts w:asciiTheme="majorBidi" w:eastAsia="Palatino Linotype" w:hAnsiTheme="majorBidi" w:cstheme="majorBidi"/>
          <w:bCs/>
          <w:sz w:val="24"/>
          <w:szCs w:val="24"/>
        </w:rPr>
      </w:pPr>
    </w:p>
    <w:p w14:paraId="44621FEE" w14:textId="2936FBCC" w:rsidR="0097752F" w:rsidRPr="0097752F" w:rsidRDefault="0097752F" w:rsidP="0097752F">
      <w:pPr>
        <w:spacing w:after="0"/>
        <w:jc w:val="both"/>
        <w:rPr>
          <w:rFonts w:asciiTheme="majorBidi" w:eastAsia="Palatino Linotype" w:hAnsiTheme="majorBidi" w:cstheme="majorBidi"/>
          <w:bCs/>
          <w:sz w:val="24"/>
          <w:szCs w:val="24"/>
        </w:rPr>
      </w:pPr>
      <w:r w:rsidRPr="0097752F">
        <w:rPr>
          <w:rFonts w:asciiTheme="majorBidi" w:eastAsia="Palatino Linotype" w:hAnsiTheme="majorBidi" w:cstheme="majorBidi"/>
          <w:bCs/>
          <w:sz w:val="24"/>
          <w:szCs w:val="24"/>
        </w:rPr>
        <w:t xml:space="preserve">According to the account, one of the victims was initially taken to a nearby military sector base. Shortly thereafter, soldiers in military uniform, using a vehicle </w:t>
      </w:r>
      <w:r w:rsidR="00171E0A">
        <w:rPr>
          <w:rFonts w:asciiTheme="majorBidi" w:eastAsia="Palatino Linotype" w:hAnsiTheme="majorBidi" w:cstheme="majorBidi"/>
          <w:bCs/>
          <w:sz w:val="24"/>
          <w:szCs w:val="24"/>
        </w:rPr>
        <w:t>identified as one belonging to SSPDF of Tiger division</w:t>
      </w:r>
      <w:r w:rsidRPr="0097752F">
        <w:rPr>
          <w:rFonts w:asciiTheme="majorBidi" w:eastAsia="Palatino Linotype" w:hAnsiTheme="majorBidi" w:cstheme="majorBidi"/>
          <w:bCs/>
          <w:sz w:val="24"/>
          <w:szCs w:val="24"/>
        </w:rPr>
        <w:t xml:space="preserve">, compelled the other two civilians to accompany them to Al </w:t>
      </w:r>
      <w:proofErr w:type="spellStart"/>
      <w:r w:rsidRPr="0097752F">
        <w:rPr>
          <w:rFonts w:asciiTheme="majorBidi" w:eastAsia="Palatino Linotype" w:hAnsiTheme="majorBidi" w:cstheme="majorBidi"/>
          <w:bCs/>
          <w:sz w:val="24"/>
          <w:szCs w:val="24"/>
        </w:rPr>
        <w:t>Giyada</w:t>
      </w:r>
      <w:proofErr w:type="spellEnd"/>
      <w:r w:rsidRPr="0097752F">
        <w:rPr>
          <w:rFonts w:asciiTheme="majorBidi" w:eastAsia="Palatino Linotype" w:hAnsiTheme="majorBidi" w:cstheme="majorBidi"/>
          <w:bCs/>
          <w:sz w:val="24"/>
          <w:szCs w:val="24"/>
        </w:rPr>
        <w:t xml:space="preserve">, </w:t>
      </w:r>
      <w:r w:rsidR="00171E0A">
        <w:rPr>
          <w:rFonts w:asciiTheme="majorBidi" w:eastAsia="Palatino Linotype" w:hAnsiTheme="majorBidi" w:cstheme="majorBidi"/>
          <w:bCs/>
          <w:sz w:val="24"/>
          <w:szCs w:val="24"/>
        </w:rPr>
        <w:t>m</w:t>
      </w:r>
      <w:r w:rsidRPr="0097752F">
        <w:rPr>
          <w:rFonts w:asciiTheme="majorBidi" w:eastAsia="Palatino Linotype" w:hAnsiTheme="majorBidi" w:cstheme="majorBidi"/>
          <w:bCs/>
          <w:sz w:val="24"/>
          <w:szCs w:val="24"/>
        </w:rPr>
        <w:t xml:space="preserve">ilitary </w:t>
      </w:r>
      <w:r w:rsidR="00171E0A">
        <w:rPr>
          <w:rFonts w:asciiTheme="majorBidi" w:eastAsia="Palatino Linotype" w:hAnsiTheme="majorBidi" w:cstheme="majorBidi"/>
          <w:bCs/>
          <w:sz w:val="24"/>
          <w:szCs w:val="24"/>
        </w:rPr>
        <w:t>h</w:t>
      </w:r>
      <w:r w:rsidRPr="0097752F">
        <w:rPr>
          <w:rFonts w:asciiTheme="majorBidi" w:eastAsia="Palatino Linotype" w:hAnsiTheme="majorBidi" w:cstheme="majorBidi"/>
          <w:bCs/>
          <w:sz w:val="24"/>
          <w:szCs w:val="24"/>
        </w:rPr>
        <w:t>eadquarters. All three individuals were detained there without being informed of the reasons for their arrest. Relatives attempting to access the detainees the following day were denied visitation and provided no explanation for the deprivation of liberty.</w:t>
      </w:r>
    </w:p>
    <w:p w14:paraId="036FBBC4" w14:textId="77777777" w:rsidR="0097752F" w:rsidRPr="0097752F" w:rsidRDefault="0097752F" w:rsidP="0097752F">
      <w:pPr>
        <w:spacing w:after="0"/>
        <w:jc w:val="both"/>
        <w:rPr>
          <w:rFonts w:asciiTheme="majorBidi" w:eastAsia="Palatino Linotype" w:hAnsiTheme="majorBidi" w:cstheme="majorBidi"/>
          <w:bCs/>
          <w:sz w:val="24"/>
          <w:szCs w:val="24"/>
        </w:rPr>
      </w:pPr>
    </w:p>
    <w:p w14:paraId="7082FA8F" w14:textId="77777777" w:rsidR="0097752F" w:rsidRPr="0097752F" w:rsidRDefault="0097752F" w:rsidP="0097752F">
      <w:pPr>
        <w:spacing w:after="0"/>
        <w:jc w:val="both"/>
        <w:rPr>
          <w:rFonts w:asciiTheme="majorBidi" w:eastAsia="Palatino Linotype" w:hAnsiTheme="majorBidi" w:cstheme="majorBidi"/>
          <w:bCs/>
          <w:sz w:val="24"/>
          <w:szCs w:val="24"/>
        </w:rPr>
      </w:pPr>
      <w:r w:rsidRPr="0097752F">
        <w:rPr>
          <w:rFonts w:asciiTheme="majorBidi" w:eastAsia="Palatino Linotype" w:hAnsiTheme="majorBidi" w:cstheme="majorBidi"/>
          <w:bCs/>
          <w:sz w:val="24"/>
          <w:szCs w:val="24"/>
        </w:rPr>
        <w:t>The victims were eventually released in stages between 29 and 30 August 2025, and their belongings, including a confiscated phone, were later returned. No charges were brought against them, and no justification was provided for their detention. The source confirmed that the victims were not subjected to physical mistreatment while in military custody.</w:t>
      </w:r>
    </w:p>
    <w:p w14:paraId="6BD32E2B" w14:textId="77777777" w:rsidR="0097752F" w:rsidRPr="0097752F" w:rsidRDefault="0097752F" w:rsidP="0097752F">
      <w:pPr>
        <w:spacing w:after="0"/>
        <w:jc w:val="both"/>
        <w:rPr>
          <w:rFonts w:asciiTheme="majorBidi" w:eastAsia="Palatino Linotype" w:hAnsiTheme="majorBidi" w:cstheme="majorBidi"/>
          <w:bCs/>
          <w:sz w:val="24"/>
          <w:szCs w:val="24"/>
        </w:rPr>
      </w:pPr>
    </w:p>
    <w:p w14:paraId="177C76E6" w14:textId="10702153" w:rsidR="0097752F" w:rsidRPr="0097752F" w:rsidRDefault="0097752F" w:rsidP="00171E0A">
      <w:pPr>
        <w:spacing w:after="0"/>
        <w:jc w:val="both"/>
        <w:rPr>
          <w:rFonts w:asciiTheme="majorBidi" w:eastAsia="Palatino Linotype" w:hAnsiTheme="majorBidi" w:cstheme="majorBidi"/>
          <w:bCs/>
          <w:i/>
          <w:iCs/>
          <w:sz w:val="24"/>
          <w:szCs w:val="24"/>
        </w:rPr>
      </w:pPr>
      <w:r w:rsidRPr="0097752F">
        <w:rPr>
          <w:rFonts w:asciiTheme="majorBidi" w:eastAsia="Palatino Linotype" w:hAnsiTheme="majorBidi" w:cstheme="majorBidi"/>
          <w:b/>
          <w:i/>
          <w:iCs/>
          <w:sz w:val="24"/>
          <w:szCs w:val="24"/>
        </w:rPr>
        <w:t>Comment:</w:t>
      </w:r>
      <w:r w:rsidRPr="0097752F">
        <w:rPr>
          <w:rFonts w:asciiTheme="majorBidi" w:eastAsia="Palatino Linotype" w:hAnsiTheme="majorBidi" w:cstheme="majorBidi"/>
          <w:bCs/>
          <w:i/>
          <w:iCs/>
          <w:sz w:val="24"/>
          <w:szCs w:val="24"/>
        </w:rPr>
        <w:t xml:space="preserve"> </w:t>
      </w:r>
      <w:r w:rsidRPr="0097752F">
        <w:rPr>
          <w:rFonts w:asciiTheme="majorBidi" w:eastAsia="Palatino Linotype" w:hAnsiTheme="majorBidi" w:cstheme="majorBidi"/>
          <w:bCs/>
          <w:i/>
          <w:iCs/>
          <w:sz w:val="24"/>
          <w:szCs w:val="24"/>
        </w:rPr>
        <w:t xml:space="preserve">The incident underscores </w:t>
      </w:r>
      <w:r w:rsidR="00171E0A" w:rsidRPr="0097752F">
        <w:rPr>
          <w:rFonts w:asciiTheme="majorBidi" w:eastAsia="Palatino Linotype" w:hAnsiTheme="majorBidi" w:cstheme="majorBidi"/>
          <w:bCs/>
          <w:i/>
          <w:iCs/>
          <w:sz w:val="24"/>
          <w:szCs w:val="24"/>
        </w:rPr>
        <w:t>concern</w:t>
      </w:r>
      <w:r w:rsidRPr="0097752F">
        <w:rPr>
          <w:rFonts w:asciiTheme="majorBidi" w:eastAsia="Palatino Linotype" w:hAnsiTheme="majorBidi" w:cstheme="majorBidi"/>
          <w:bCs/>
          <w:i/>
          <w:iCs/>
          <w:sz w:val="24"/>
          <w:szCs w:val="24"/>
        </w:rPr>
        <w:t xml:space="preserve"> regarding arbitrary arrest and detention, the lack of due process, and the absence of transparency by security forces. Such practices undermine the rule of law, contravene constitutional and international human rights standards, and contribute to insecurity and fear among civilians. </w:t>
      </w:r>
    </w:p>
    <w:p w14:paraId="5CD8E201" w14:textId="77777777" w:rsidR="0097752F" w:rsidRPr="008101C8" w:rsidRDefault="0097752F" w:rsidP="0097752F">
      <w:pPr>
        <w:spacing w:after="0"/>
        <w:jc w:val="both"/>
        <w:rPr>
          <w:rFonts w:asciiTheme="majorBidi" w:eastAsia="Palatino Linotype" w:hAnsiTheme="majorBidi" w:cstheme="majorBidi"/>
          <w:b/>
          <w:sz w:val="24"/>
          <w:szCs w:val="24"/>
        </w:rPr>
      </w:pPr>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p w14:paraId="1B384865" w14:textId="77777777" w:rsidR="0097752F" w:rsidRPr="0097752F" w:rsidRDefault="0097752F" w:rsidP="0097752F">
      <w:pPr>
        <w:rPr>
          <w:rFonts w:ascii="Times New Roman" w:eastAsia="Times New Roman" w:hAnsi="Times New Roman" w:cs="Times New Roman"/>
          <w:sz w:val="24"/>
          <w:szCs w:val="24"/>
        </w:rPr>
      </w:pPr>
    </w:p>
    <w:p w14:paraId="3AAB6507" w14:textId="77777777" w:rsidR="0097752F" w:rsidRPr="0097752F" w:rsidRDefault="0097752F" w:rsidP="0097752F">
      <w:pPr>
        <w:rPr>
          <w:rFonts w:ascii="Times New Roman" w:eastAsia="Times New Roman" w:hAnsi="Times New Roman" w:cs="Times New Roman"/>
          <w:sz w:val="24"/>
          <w:szCs w:val="24"/>
        </w:rPr>
      </w:pPr>
    </w:p>
    <w:p w14:paraId="713C2121" w14:textId="77777777" w:rsidR="0097752F" w:rsidRPr="0097752F" w:rsidRDefault="0097752F" w:rsidP="0097752F">
      <w:pPr>
        <w:ind w:firstLine="720"/>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2D39" w14:textId="77777777" w:rsidR="00AC64C5" w:rsidRDefault="00AC64C5" w:rsidP="00182875">
      <w:pPr>
        <w:spacing w:after="0" w:line="240" w:lineRule="auto"/>
      </w:pPr>
      <w:r>
        <w:separator/>
      </w:r>
    </w:p>
  </w:endnote>
  <w:endnote w:type="continuationSeparator" w:id="0">
    <w:p w14:paraId="40AA365D" w14:textId="77777777" w:rsidR="00AC64C5" w:rsidRDefault="00AC64C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1C034" w14:textId="77777777" w:rsidR="00AC64C5" w:rsidRDefault="00AC64C5" w:rsidP="00182875">
      <w:pPr>
        <w:spacing w:after="0" w:line="240" w:lineRule="auto"/>
      </w:pPr>
      <w:r>
        <w:separator/>
      </w:r>
    </w:p>
  </w:footnote>
  <w:footnote w:type="continuationSeparator" w:id="0">
    <w:p w14:paraId="4633A8F6" w14:textId="77777777" w:rsidR="00AC64C5" w:rsidRDefault="00AC64C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E3C"/>
    <w:multiLevelType w:val="hybridMultilevel"/>
    <w:tmpl w:val="36C0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9614C"/>
    <w:multiLevelType w:val="hybridMultilevel"/>
    <w:tmpl w:val="CA0CDEE8"/>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6C20F3"/>
    <w:multiLevelType w:val="hybridMultilevel"/>
    <w:tmpl w:val="AA3E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B30BA9"/>
    <w:multiLevelType w:val="hybridMultilevel"/>
    <w:tmpl w:val="6434ABCC"/>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6E40B3"/>
    <w:multiLevelType w:val="hybridMultilevel"/>
    <w:tmpl w:val="B618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30"/>
  </w:num>
  <w:num w:numId="2" w16cid:durableId="540435874">
    <w:abstractNumId w:val="31"/>
  </w:num>
  <w:num w:numId="3" w16cid:durableId="85081827">
    <w:abstractNumId w:val="29"/>
  </w:num>
  <w:num w:numId="4" w16cid:durableId="1552690638">
    <w:abstractNumId w:val="30"/>
  </w:num>
  <w:num w:numId="5" w16cid:durableId="1609462432">
    <w:abstractNumId w:val="18"/>
  </w:num>
  <w:num w:numId="6" w16cid:durableId="600800725">
    <w:abstractNumId w:val="29"/>
  </w:num>
  <w:num w:numId="7" w16cid:durableId="1399325892">
    <w:abstractNumId w:val="30"/>
  </w:num>
  <w:num w:numId="8" w16cid:durableId="533737552">
    <w:abstractNumId w:val="55"/>
  </w:num>
  <w:num w:numId="9" w16cid:durableId="215971345">
    <w:abstractNumId w:val="33"/>
  </w:num>
  <w:num w:numId="10" w16cid:durableId="688604389">
    <w:abstractNumId w:val="24"/>
  </w:num>
  <w:num w:numId="11" w16cid:durableId="529531191">
    <w:abstractNumId w:val="48"/>
  </w:num>
  <w:num w:numId="12" w16cid:durableId="63645182">
    <w:abstractNumId w:val="41"/>
  </w:num>
  <w:num w:numId="13" w16cid:durableId="729694033">
    <w:abstractNumId w:val="46"/>
  </w:num>
  <w:num w:numId="14" w16cid:durableId="1714647607">
    <w:abstractNumId w:val="35"/>
  </w:num>
  <w:num w:numId="15" w16cid:durableId="154996755">
    <w:abstractNumId w:val="44"/>
  </w:num>
  <w:num w:numId="16" w16cid:durableId="331035575">
    <w:abstractNumId w:val="6"/>
  </w:num>
  <w:num w:numId="17" w16cid:durableId="471488225">
    <w:abstractNumId w:val="6"/>
  </w:num>
  <w:num w:numId="18" w16cid:durableId="2075930967">
    <w:abstractNumId w:val="44"/>
  </w:num>
  <w:num w:numId="19" w16cid:durableId="928387749">
    <w:abstractNumId w:val="50"/>
  </w:num>
  <w:num w:numId="20" w16cid:durableId="1103456305">
    <w:abstractNumId w:val="58"/>
  </w:num>
  <w:num w:numId="21" w16cid:durableId="311570106">
    <w:abstractNumId w:val="8"/>
  </w:num>
  <w:num w:numId="22" w16cid:durableId="1821732718">
    <w:abstractNumId w:val="42"/>
  </w:num>
  <w:num w:numId="23" w16cid:durableId="1402630756">
    <w:abstractNumId w:val="9"/>
  </w:num>
  <w:num w:numId="24" w16cid:durableId="607857489">
    <w:abstractNumId w:val="4"/>
  </w:num>
  <w:num w:numId="25" w16cid:durableId="1187018914">
    <w:abstractNumId w:val="23"/>
  </w:num>
  <w:num w:numId="26" w16cid:durableId="717752364">
    <w:abstractNumId w:val="14"/>
  </w:num>
  <w:num w:numId="27" w16cid:durableId="1510755198">
    <w:abstractNumId w:val="53"/>
  </w:num>
  <w:num w:numId="28" w16cid:durableId="1268001703">
    <w:abstractNumId w:val="61"/>
  </w:num>
  <w:num w:numId="29" w16cid:durableId="1246256695">
    <w:abstractNumId w:val="32"/>
  </w:num>
  <w:num w:numId="30" w16cid:durableId="2135713810">
    <w:abstractNumId w:val="40"/>
  </w:num>
  <w:num w:numId="31" w16cid:durableId="1619022714">
    <w:abstractNumId w:val="19"/>
  </w:num>
  <w:num w:numId="32" w16cid:durableId="1146170234">
    <w:abstractNumId w:val="11"/>
  </w:num>
  <w:num w:numId="33" w16cid:durableId="729117981">
    <w:abstractNumId w:val="10"/>
  </w:num>
  <w:num w:numId="34" w16cid:durableId="1678651926">
    <w:abstractNumId w:val="17"/>
  </w:num>
  <w:num w:numId="35" w16cid:durableId="1476751398">
    <w:abstractNumId w:val="15"/>
  </w:num>
  <w:num w:numId="36" w16cid:durableId="334889229">
    <w:abstractNumId w:val="59"/>
  </w:num>
  <w:num w:numId="37" w16cid:durableId="1023675455">
    <w:abstractNumId w:val="1"/>
  </w:num>
  <w:num w:numId="38" w16cid:durableId="378549456">
    <w:abstractNumId w:val="39"/>
  </w:num>
  <w:num w:numId="39" w16cid:durableId="22950892">
    <w:abstractNumId w:val="57"/>
  </w:num>
  <w:num w:numId="40" w16cid:durableId="922185590">
    <w:abstractNumId w:val="43"/>
  </w:num>
  <w:num w:numId="41" w16cid:durableId="1149906646">
    <w:abstractNumId w:val="60"/>
  </w:num>
  <w:num w:numId="42" w16cid:durableId="561991003">
    <w:abstractNumId w:val="37"/>
  </w:num>
  <w:num w:numId="43" w16cid:durableId="615336941">
    <w:abstractNumId w:val="5"/>
  </w:num>
  <w:num w:numId="44" w16cid:durableId="41252977">
    <w:abstractNumId w:val="52"/>
  </w:num>
  <w:num w:numId="45" w16cid:durableId="1935941334">
    <w:abstractNumId w:val="22"/>
  </w:num>
  <w:num w:numId="46" w16cid:durableId="498547908">
    <w:abstractNumId w:val="56"/>
  </w:num>
  <w:num w:numId="47" w16cid:durableId="1713383663">
    <w:abstractNumId w:val="7"/>
  </w:num>
  <w:num w:numId="48" w16cid:durableId="1617253838">
    <w:abstractNumId w:val="2"/>
  </w:num>
  <w:num w:numId="49" w16cid:durableId="1899246162">
    <w:abstractNumId w:val="12"/>
  </w:num>
  <w:num w:numId="50" w16cid:durableId="684867009">
    <w:abstractNumId w:val="38"/>
  </w:num>
  <w:num w:numId="51" w16cid:durableId="1003508717">
    <w:abstractNumId w:val="3"/>
  </w:num>
  <w:num w:numId="52" w16cid:durableId="1630747073">
    <w:abstractNumId w:val="51"/>
  </w:num>
  <w:num w:numId="53" w16cid:durableId="1372537815">
    <w:abstractNumId w:val="25"/>
  </w:num>
  <w:num w:numId="54" w16cid:durableId="1431777652">
    <w:abstractNumId w:val="54"/>
  </w:num>
  <w:num w:numId="55" w16cid:durableId="775831297">
    <w:abstractNumId w:val="27"/>
  </w:num>
  <w:num w:numId="56" w16cid:durableId="406614595">
    <w:abstractNumId w:val="47"/>
  </w:num>
  <w:num w:numId="57" w16cid:durableId="154803296">
    <w:abstractNumId w:val="28"/>
  </w:num>
  <w:num w:numId="58" w16cid:durableId="399599813">
    <w:abstractNumId w:val="13"/>
  </w:num>
  <w:num w:numId="59" w16cid:durableId="668557116">
    <w:abstractNumId w:val="36"/>
  </w:num>
  <w:num w:numId="60" w16cid:durableId="1303465948">
    <w:abstractNumId w:val="62"/>
  </w:num>
  <w:num w:numId="61" w16cid:durableId="379092951">
    <w:abstractNumId w:val="21"/>
  </w:num>
  <w:num w:numId="62" w16cid:durableId="1452045542">
    <w:abstractNumId w:val="49"/>
  </w:num>
  <w:num w:numId="63" w16cid:durableId="1697924979">
    <w:abstractNumId w:val="26"/>
  </w:num>
  <w:num w:numId="64" w16cid:durableId="966357287">
    <w:abstractNumId w:val="34"/>
  </w:num>
  <w:num w:numId="65" w16cid:durableId="14426825">
    <w:abstractNumId w:val="16"/>
  </w:num>
  <w:num w:numId="66" w16cid:durableId="1472284765">
    <w:abstractNumId w:val="45"/>
  </w:num>
  <w:num w:numId="67" w16cid:durableId="1182088232">
    <w:abstractNumId w:val="0"/>
  </w:num>
  <w:num w:numId="68" w16cid:durableId="1290747775">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1932"/>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308E3"/>
    <w:rsid w:val="00833B85"/>
    <w:rsid w:val="008344CD"/>
    <w:rsid w:val="00834F0A"/>
    <w:rsid w:val="00836D5F"/>
    <w:rsid w:val="00840855"/>
    <w:rsid w:val="00842397"/>
    <w:rsid w:val="008465FD"/>
    <w:rsid w:val="00846C5F"/>
    <w:rsid w:val="00850856"/>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0B7B"/>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C64C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2025-09-01T15:16:00Z</dcterms:created>
  <dcterms:modified xsi:type="dcterms:W3CDTF">2025-09-01T15:16:00Z</dcterms:modified>
</cp:coreProperties>
</file>