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74DC45CC" w:rsidR="00410A21" w:rsidRPr="006E7496" w:rsidRDefault="00967186" w:rsidP="00967186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6E7496">
        <w:rPr>
          <w:rFonts w:asciiTheme="majorBidi" w:hAnsiTheme="majorBidi" w:cstheme="majorBidi"/>
          <w:b/>
          <w:bCs/>
          <w:sz w:val="22"/>
          <w:szCs w:val="22"/>
        </w:rPr>
        <w:t xml:space="preserve">Template for Weekly SMG (can also be used for </w:t>
      </w:r>
      <w:r w:rsidR="000411B5" w:rsidRPr="006E7496">
        <w:rPr>
          <w:rFonts w:asciiTheme="majorBidi" w:hAnsiTheme="majorBidi" w:cstheme="majorBidi"/>
          <w:b/>
          <w:bCs/>
          <w:sz w:val="22"/>
          <w:szCs w:val="22"/>
        </w:rPr>
        <w:t xml:space="preserve">Heads of Sections, </w:t>
      </w:r>
      <w:r w:rsidRPr="006E7496">
        <w:rPr>
          <w:rFonts w:asciiTheme="majorBidi" w:hAnsiTheme="majorBidi" w:cstheme="majorBidi"/>
          <w:b/>
          <w:bCs/>
          <w:sz w:val="22"/>
          <w:szCs w:val="22"/>
        </w:rPr>
        <w:t>Pillar meetings and Monthly meetings of the Political Pillar/HOFO meetings</w:t>
      </w:r>
      <w:r w:rsidR="006E7496" w:rsidRPr="006E7496">
        <w:rPr>
          <w:rFonts w:asciiTheme="majorBidi" w:hAnsiTheme="majorBidi" w:cstheme="majorBidi"/>
          <w:b/>
          <w:bCs/>
          <w:sz w:val="22"/>
          <w:szCs w:val="22"/>
        </w:rPr>
        <w:t>)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1709"/>
        <w:gridCol w:w="3596"/>
        <w:gridCol w:w="4500"/>
        <w:gridCol w:w="3150"/>
      </w:tblGrid>
      <w:tr w:rsidR="009C6DB6" w:rsidRPr="006E7496" w14:paraId="50EB0240" w14:textId="77777777" w:rsidTr="006E7496">
        <w:tc>
          <w:tcPr>
            <w:tcW w:w="1709" w:type="dxa"/>
          </w:tcPr>
          <w:p w14:paraId="50D8146F" w14:textId="380318D3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Thematic Priorities</w:t>
            </w:r>
          </w:p>
        </w:tc>
        <w:tc>
          <w:tcPr>
            <w:tcW w:w="3596" w:type="dxa"/>
          </w:tcPr>
          <w:p w14:paraId="0C94CAE2" w14:textId="2FEFACD1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>Update points-</w:t>
            </w:r>
            <w:proofErr w:type="spellStart"/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>bullet</w:t>
            </w:r>
            <w:proofErr w:type="spellEnd"/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 xml:space="preserve"> points format</w:t>
            </w:r>
          </w:p>
        </w:tc>
        <w:tc>
          <w:tcPr>
            <w:tcW w:w="4500" w:type="dxa"/>
          </w:tcPr>
          <w:p w14:paraId="1C0FCD7E" w14:textId="1AD1920A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Analysis in terms of trends, early warning, related developments, responses, </w:t>
            </w:r>
            <w:proofErr w:type="gramStart"/>
            <w:r w:rsidR="006E7496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recommendations, </w:t>
            </w:r>
            <w:r w:rsidR="00DC12A7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key messages</w:t>
            </w:r>
            <w:proofErr w:type="gramEnd"/>
            <w:r w:rsidR="00DC12A7"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, etc. </w:t>
            </w:r>
          </w:p>
        </w:tc>
        <w:tc>
          <w:tcPr>
            <w:tcW w:w="3150" w:type="dxa"/>
          </w:tcPr>
          <w:p w14:paraId="4337EA70" w14:textId="4DDC6B5E" w:rsidR="009C6DB6" w:rsidRPr="006E7496" w:rsidRDefault="009C6DB6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E7496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Additional Remarks if any</w:t>
            </w:r>
          </w:p>
        </w:tc>
      </w:tr>
      <w:tr w:rsidR="009C6DB6" w:rsidRPr="006E7496" w14:paraId="6BC95B9A" w14:textId="77777777" w:rsidTr="006E7496">
        <w:tc>
          <w:tcPr>
            <w:tcW w:w="1709" w:type="dxa"/>
          </w:tcPr>
          <w:p w14:paraId="62C23294" w14:textId="07AA1CDF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Impact of violence against civilians</w:t>
            </w:r>
          </w:p>
        </w:tc>
        <w:tc>
          <w:tcPr>
            <w:tcW w:w="3596" w:type="dxa"/>
          </w:tcPr>
          <w:p w14:paraId="537CC04B" w14:textId="35A52CFE" w:rsidR="009C6DB6" w:rsidRDefault="004A6601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During the week under review (1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19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September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) the Human Rights Division document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23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</w:t>
            </w:r>
            <w:r w:rsidR="00825C8B">
              <w:rPr>
                <w:rFonts w:asciiTheme="majorBidi" w:hAnsiTheme="majorBidi" w:cstheme="majorBidi"/>
                <w:sz w:val="20"/>
                <w:szCs w:val="20"/>
              </w:rPr>
              <w:t xml:space="preserve">of </w:t>
            </w:r>
            <w:r w:rsidR="00F53EB0">
              <w:rPr>
                <w:rFonts w:asciiTheme="majorBidi" w:hAnsiTheme="majorBidi" w:cstheme="majorBidi"/>
                <w:sz w:val="20"/>
                <w:szCs w:val="20"/>
              </w:rPr>
              <w:t xml:space="preserve">violence affecting a total of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50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18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20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six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abducted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, and six CRSV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), including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seven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women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, five girls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and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two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757BA5">
              <w:rPr>
                <w:rFonts w:asciiTheme="majorBidi" w:hAnsiTheme="majorBidi" w:cstheme="majorBidi"/>
                <w:sz w:val="20"/>
                <w:szCs w:val="20"/>
              </w:rPr>
              <w:t>boy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="008D725F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32F435A4" w14:textId="5DA4911B" w:rsidR="008D725F" w:rsidRDefault="00D7241F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The majority of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victims were documented in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Lakes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17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), followed by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Central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Equatoria State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10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Eastern Equatoria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7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Unity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>6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, Warrap State (4), Western Equatoria State (4), and Western Bahr </w:t>
            </w:r>
            <w:proofErr w:type="spellStart"/>
            <w:r w:rsidR="007511D3"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 w:rsidR="007511D3">
              <w:rPr>
                <w:rFonts w:asciiTheme="majorBidi" w:hAnsiTheme="majorBidi" w:cstheme="majorBidi"/>
                <w:sz w:val="20"/>
                <w:szCs w:val="20"/>
              </w:rPr>
              <w:t xml:space="preserve"> Ghazal State (2)</w:t>
            </w:r>
            <w:r w:rsidR="0022537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246713B" w14:textId="11FAD693" w:rsidR="009616CE" w:rsidRPr="00144DD7" w:rsidRDefault="003177A2" w:rsidP="00D24A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In </w:t>
            </w:r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Lakes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State, </w:t>
            </w:r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on</w:t>
            </w:r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15 and 16 September, four male civilians from the Dinka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Panrup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were shot and killed</w:t>
            </w:r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13E21" w:rsidRPr="00144DD7">
              <w:rPr>
                <w:rFonts w:asciiTheme="majorBidi" w:hAnsiTheme="majorBidi" w:cstheme="majorBidi"/>
                <w:sz w:val="20"/>
                <w:szCs w:val="20"/>
              </w:rPr>
              <w:t>and injured</w:t>
            </w:r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several others (unspecified number)</w:t>
            </w:r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during violence between the armed Dinka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Panrup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and allied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Pandiang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-boor,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Panaweer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and Pagot sub-clans, all from the Niel-Niel clan of Dinka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Agaar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community, in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Matangai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Rumbek Center County. Reportedly, 12 of the attackers were killed in the ensuing confrontation between the attackers and armed Dinka </w:t>
            </w:r>
            <w:proofErr w:type="spellStart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>Panrup</w:t>
            </w:r>
            <w:proofErr w:type="spellEnd"/>
            <w:r w:rsidR="007C6EC0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elements.</w:t>
            </w:r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15 </w:t>
            </w:r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September, five male civilians from the Dinka </w:t>
            </w:r>
            <w:proofErr w:type="spellStart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>Panyar</w:t>
            </w:r>
            <w:proofErr w:type="spellEnd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were shot and killed and eight others were injured during violence between armed </w:t>
            </w:r>
            <w:proofErr w:type="spellStart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>Panyar</w:t>
            </w:r>
            <w:proofErr w:type="spellEnd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elements and allied armed </w:t>
            </w:r>
            <w:proofErr w:type="spellStart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>Rutrot</w:t>
            </w:r>
            <w:proofErr w:type="spellEnd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, Waat, and Pagok elements (all under Dinka Gok section) in Malou village, </w:t>
            </w:r>
            <w:proofErr w:type="spellStart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>Citcok</w:t>
            </w:r>
            <w:proofErr w:type="spellEnd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>Cueibet</w:t>
            </w:r>
            <w:proofErr w:type="spellEnd"/>
            <w:r w:rsidR="009616CE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</w:p>
          <w:p w14:paraId="28AA497A" w14:textId="3CDB7BB3" w:rsidR="00144DD7" w:rsidRPr="00023EF7" w:rsidRDefault="00AF05D5" w:rsidP="00144DD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Central Equatoria State, 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on 12 September, one SSPDF soldier shot and killed a male civilian from the Kuku community in Rojo village, Rodo Boma,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Nyepo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Kajo-Keji County.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11 September, one SSPDF soldier (attached to personal security of an officer of the SSPDF) attacked and killed one male civilian (an employee at the University of Juba) in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Tomping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, Juba City.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9 September, suspected NAS elements abducted two male civilians (35 and 40 years old) from the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Pojulu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community in Rome Village, Biri Boma, Mukaya Payam, Lainya County.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11 September, an unidentified armed element raped three female civilians from the Kakwa community in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Kegulu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village,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Wutogo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Yei River County.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14 September, the SSPDF shot and injured two girls and arbitrarily arrested and detained one male civilian (a religious leader) in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Ombaci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Otogo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Yei River County.</w:t>
            </w:r>
            <w:r w:rsidR="00144DD7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13 September, an unidentified armed element raped </w:t>
            </w:r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one 21-year-old woman from the Kakwa community in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Payume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>Morobo</w:t>
            </w:r>
            <w:proofErr w:type="spellEnd"/>
            <w:r w:rsidR="00144DD7"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</w:p>
          <w:p w14:paraId="53296E8C" w14:textId="77777777" w:rsidR="00094EAA" w:rsidRDefault="00144DD7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Eastern Equatoria State, Armed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Toposa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elements killed three and injured two </w:t>
            </w:r>
            <w:proofErr w:type="gramStart"/>
            <w:r>
              <w:rPr>
                <w:rFonts w:asciiTheme="majorBidi" w:hAnsiTheme="majorBidi" w:cstheme="majorBidi"/>
                <w:sz w:val="20"/>
                <w:szCs w:val="20"/>
              </w:rPr>
              <w:t>other</w:t>
            </w:r>
            <w:proofErr w:type="gram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 Budi country. O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13 September, armed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Logir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elements from Romula Boma,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Chahari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Ikotos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County shot and killed one 27-year-old male civilian from the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Didinga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community during a cattle raid in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Kidepo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Boma,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Loriyok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Budi County.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14 September, Murle armed elements from Greater Pibor Administrative Area (GPAA) shot and killed one 28-year-old male civilian from the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Lotuko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in Khor-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Lakabata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Lohilang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Boma, Kudo Payam-Torit County.</w:t>
            </w:r>
          </w:p>
          <w:p w14:paraId="45739608" w14:textId="77777777" w:rsidR="00144DD7" w:rsidRDefault="00144DD7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Unity State, 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on 13 September, armed Dinka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Ciec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elements shot and killed one male civilian from the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Nyuong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community and abducted three other civilians (two females including a minor and another male) in the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Chinakuet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checkpoint area, Adior Payam, Yirol East County.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n 9 September, unidentified armed elements attacked, beat and killed one male civilian and injured one female civilian in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Adjountok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Jamjang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County, </w:t>
            </w:r>
            <w:proofErr w:type="spellStart"/>
            <w:r w:rsidRPr="00144DD7">
              <w:rPr>
                <w:rFonts w:asciiTheme="majorBidi" w:hAnsiTheme="majorBidi" w:cstheme="majorBidi"/>
                <w:sz w:val="20"/>
                <w:szCs w:val="20"/>
              </w:rPr>
              <w:t>Ruweng</w:t>
            </w:r>
            <w:proofErr w:type="spellEnd"/>
            <w:r w:rsidRPr="00144DD7">
              <w:rPr>
                <w:rFonts w:asciiTheme="majorBidi" w:hAnsiTheme="majorBidi" w:cstheme="majorBidi"/>
                <w:sz w:val="20"/>
                <w:szCs w:val="20"/>
              </w:rPr>
              <w:t xml:space="preserve"> Administrative Area.</w:t>
            </w:r>
          </w:p>
          <w:p w14:paraId="7EE255CD" w14:textId="77777777" w:rsidR="00144DD7" w:rsidRDefault="00144DD7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</w:t>
            </w:r>
            <w:r w:rsidR="00513E21">
              <w:rPr>
                <w:rFonts w:asciiTheme="majorBidi" w:hAnsiTheme="majorBidi" w:cstheme="majorBidi"/>
                <w:sz w:val="20"/>
                <w:szCs w:val="20"/>
              </w:rPr>
              <w:t xml:space="preserve">Warrap State, </w:t>
            </w:r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On 15 September, armed Dinka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Jurbol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elements from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Rualbet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Payam shot and injured one male civilian </w:t>
            </w:r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from the Dinka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Atok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community in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Walkou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village,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Awul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Payam, Tonj North County.</w:t>
            </w:r>
            <w:r w:rsidR="00513E21"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n 16 September, armed Nuer elements from Unity State shot and injure two male civilians from the Dinka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Mayardit community in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Abayok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village,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Turalei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Payam,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Twic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County.</w:t>
            </w:r>
            <w:r w:rsidR="00513E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On 18 September, armed Nuer elements from Unity State shot and injured one male civilian from the Dinka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Apuk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during a cattle raid in Malual-Ador village,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Pathuon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East Payam, </w:t>
            </w:r>
            <w:proofErr w:type="spellStart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>Gogrial</w:t>
            </w:r>
            <w:proofErr w:type="spellEnd"/>
            <w:r w:rsidR="00513E21"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East County.</w:t>
            </w:r>
          </w:p>
          <w:p w14:paraId="2EACB204" w14:textId="77777777" w:rsidR="00513E21" w:rsidRDefault="00513E21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 Western Equatoria State, O</w:t>
            </w:r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n 13 September, unidentified armed elements shot and injured one male civilian from the Azande </w:t>
            </w:r>
            <w:proofErr w:type="gramStart"/>
            <w:r w:rsidRPr="00513E21">
              <w:rPr>
                <w:rFonts w:asciiTheme="majorBidi" w:hAnsiTheme="majorBidi" w:cstheme="majorBidi"/>
                <w:sz w:val="20"/>
                <w:szCs w:val="20"/>
              </w:rPr>
              <w:t>community  in</w:t>
            </w:r>
            <w:proofErr w:type="gramEnd"/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13E21">
              <w:rPr>
                <w:rFonts w:asciiTheme="majorBidi" w:hAnsiTheme="majorBidi" w:cstheme="majorBidi"/>
                <w:sz w:val="20"/>
                <w:szCs w:val="20"/>
              </w:rPr>
              <w:t>Gangara</w:t>
            </w:r>
            <w:proofErr w:type="spellEnd"/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Emilia North residential area, Yambio town, Yambio County.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n 16 September, suspected SPLA-IO elements attacked and injured two male civilians in Afa village, </w:t>
            </w:r>
            <w:proofErr w:type="spellStart"/>
            <w:r w:rsidRPr="00513E21">
              <w:rPr>
                <w:rFonts w:asciiTheme="majorBidi" w:hAnsiTheme="majorBidi" w:cstheme="majorBidi"/>
                <w:sz w:val="20"/>
                <w:szCs w:val="20"/>
              </w:rPr>
              <w:t>Mambe</w:t>
            </w:r>
            <w:proofErr w:type="spellEnd"/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Payam, Maridi County.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n 15 September, suspected SPLA-IO elements abducted one 23-year-old woman in </w:t>
            </w:r>
            <w:proofErr w:type="spellStart"/>
            <w:r w:rsidRPr="00513E21">
              <w:rPr>
                <w:rFonts w:asciiTheme="majorBidi" w:hAnsiTheme="majorBidi" w:cstheme="majorBidi"/>
                <w:sz w:val="20"/>
                <w:szCs w:val="20"/>
              </w:rPr>
              <w:t>Banzua</w:t>
            </w:r>
            <w:proofErr w:type="spellEnd"/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village, Tambura Town Payam, Tambura County.</w:t>
            </w:r>
          </w:p>
          <w:p w14:paraId="4F1B5618" w14:textId="6F265899" w:rsidR="00513E21" w:rsidRPr="00023EF7" w:rsidRDefault="00513E21" w:rsidP="007C6E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In Western Bahr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Ghazal State, O</w:t>
            </w:r>
            <w:r w:rsidRPr="00513E21">
              <w:rPr>
                <w:rFonts w:asciiTheme="majorBidi" w:hAnsiTheme="majorBidi" w:cstheme="majorBidi"/>
                <w:sz w:val="20"/>
                <w:szCs w:val="20"/>
              </w:rPr>
              <w:t>n 20 April, one SSPDF soldier abducted and raped a 13-year-old girl from the Dinka community in Wau municipality, Wau County.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</w:t>
            </w:r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n 14 September, one SSPDF soldier raped a 17-year-old girl from the Dinka community in </w:t>
            </w:r>
            <w:proofErr w:type="spellStart"/>
            <w:r w:rsidRPr="00513E2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Maluil</w:t>
            </w:r>
            <w:proofErr w:type="spellEnd"/>
            <w:r w:rsidRPr="00513E21">
              <w:rPr>
                <w:rFonts w:asciiTheme="majorBidi" w:hAnsiTheme="majorBidi" w:cstheme="majorBidi"/>
                <w:sz w:val="20"/>
                <w:szCs w:val="20"/>
              </w:rPr>
              <w:t xml:space="preserve"> area, Marial Bai Payam, Jur River County.</w:t>
            </w:r>
          </w:p>
        </w:tc>
        <w:tc>
          <w:tcPr>
            <w:tcW w:w="4500" w:type="dxa"/>
          </w:tcPr>
          <w:p w14:paraId="2C270BB9" w14:textId="0B4EFA2F" w:rsidR="009B26B1" w:rsidRDefault="00792479" w:rsidP="00094EA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Inter/intra-communal violence continued to be the primary driver of </w:t>
            </w:r>
            <w:r w:rsidR="004A0C93">
              <w:rPr>
                <w:rFonts w:asciiTheme="majorBidi" w:hAnsiTheme="majorBidi" w:cstheme="majorBidi"/>
                <w:sz w:val="20"/>
                <w:szCs w:val="20"/>
              </w:rPr>
              <w:t xml:space="preserve">documented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civilian casualties</w:t>
            </w:r>
            <w:r w:rsidR="004A0C93">
              <w:rPr>
                <w:rFonts w:asciiTheme="majorBidi" w:hAnsiTheme="majorBidi" w:cstheme="majorBidi"/>
                <w:sz w:val="20"/>
                <w:szCs w:val="20"/>
              </w:rPr>
              <w:t xml:space="preserve"> across South Sudan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.</w:t>
            </w:r>
            <w:r w:rsidR="004A0C9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8F0312">
              <w:rPr>
                <w:rFonts w:asciiTheme="majorBidi" w:hAnsiTheme="majorBidi" w:cstheme="majorBidi"/>
                <w:sz w:val="20"/>
                <w:szCs w:val="20"/>
              </w:rPr>
              <w:t xml:space="preserve">Given the intensity of recent retaliatory attacks, there is a heightened risk of </w:t>
            </w:r>
            <w:r w:rsidR="008829E8">
              <w:rPr>
                <w:rFonts w:asciiTheme="majorBidi" w:hAnsiTheme="majorBidi" w:cstheme="majorBidi"/>
                <w:sz w:val="20"/>
                <w:szCs w:val="20"/>
              </w:rPr>
              <w:t xml:space="preserve">a continued escalation of intra-communal violence between Dinka sub-groups within Warrap State. </w:t>
            </w:r>
          </w:p>
          <w:p w14:paraId="0F5D2E38" w14:textId="510FA52D" w:rsidR="009C6DB6" w:rsidRDefault="00A51A64" w:rsidP="00094EA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The </w:t>
            </w:r>
            <w:r w:rsidR="00CF743E">
              <w:rPr>
                <w:rFonts w:asciiTheme="majorBidi" w:hAnsiTheme="majorBidi" w:cstheme="majorBidi"/>
                <w:sz w:val="20"/>
                <w:szCs w:val="20"/>
              </w:rPr>
              <w:t xml:space="preserve">alleged SSPDF aerial bombardments in Warrap State serve as an early warning indicator of the increased willingness of </w:t>
            </w:r>
            <w:proofErr w:type="spellStart"/>
            <w:r w:rsidR="003743A7">
              <w:rPr>
                <w:rFonts w:asciiTheme="majorBidi" w:hAnsiTheme="majorBidi" w:cstheme="majorBidi"/>
                <w:sz w:val="20"/>
                <w:szCs w:val="20"/>
              </w:rPr>
              <w:t>GoSS</w:t>
            </w:r>
            <w:proofErr w:type="spellEnd"/>
            <w:r w:rsidR="003743A7">
              <w:rPr>
                <w:rFonts w:asciiTheme="majorBidi" w:hAnsiTheme="majorBidi" w:cstheme="majorBidi"/>
                <w:sz w:val="20"/>
                <w:szCs w:val="20"/>
              </w:rPr>
              <w:t xml:space="preserve"> authorities to use military tactics as a means of deterring inter-communal violence and criminality.</w:t>
            </w:r>
            <w:r w:rsidR="006D7216">
              <w:rPr>
                <w:rFonts w:asciiTheme="majorBidi" w:hAnsiTheme="majorBidi" w:cstheme="majorBidi"/>
                <w:sz w:val="20"/>
                <w:szCs w:val="20"/>
              </w:rPr>
              <w:t xml:space="preserve"> Further investigation is required to verify the alleged incident</w:t>
            </w:r>
            <w:r w:rsidR="00125EB4">
              <w:rPr>
                <w:rFonts w:asciiTheme="majorBidi" w:hAnsiTheme="majorBidi" w:cstheme="majorBidi"/>
                <w:sz w:val="20"/>
                <w:szCs w:val="20"/>
              </w:rPr>
              <w:t xml:space="preserve">. HRD recommends </w:t>
            </w:r>
            <w:r w:rsidR="001C56AD">
              <w:rPr>
                <w:rFonts w:asciiTheme="majorBidi" w:hAnsiTheme="majorBidi" w:cstheme="majorBidi"/>
                <w:sz w:val="20"/>
                <w:szCs w:val="20"/>
              </w:rPr>
              <w:t xml:space="preserve">key leadership engagement to urge the </w:t>
            </w:r>
            <w:proofErr w:type="spellStart"/>
            <w:r w:rsidR="001C56AD">
              <w:rPr>
                <w:rFonts w:asciiTheme="majorBidi" w:hAnsiTheme="majorBidi" w:cstheme="majorBidi"/>
                <w:sz w:val="20"/>
                <w:szCs w:val="20"/>
              </w:rPr>
              <w:t>GoSS</w:t>
            </w:r>
            <w:proofErr w:type="spellEnd"/>
            <w:r w:rsidR="001C56AD">
              <w:rPr>
                <w:rFonts w:asciiTheme="majorBidi" w:hAnsiTheme="majorBidi" w:cstheme="majorBidi"/>
                <w:sz w:val="20"/>
                <w:szCs w:val="20"/>
              </w:rPr>
              <w:t xml:space="preserve"> to exercise restraint</w:t>
            </w:r>
            <w:r w:rsidR="00DB66F5">
              <w:rPr>
                <w:rFonts w:asciiTheme="majorBidi" w:hAnsiTheme="majorBidi" w:cstheme="majorBidi"/>
                <w:sz w:val="20"/>
                <w:szCs w:val="20"/>
              </w:rPr>
              <w:t xml:space="preserve"> in responding to</w:t>
            </w:r>
            <w:r w:rsidR="00793E1B">
              <w:rPr>
                <w:rFonts w:asciiTheme="majorBidi" w:hAnsiTheme="majorBidi" w:cstheme="majorBidi"/>
                <w:sz w:val="20"/>
                <w:szCs w:val="20"/>
              </w:rPr>
              <w:t xml:space="preserve"> inter-communal violence and criminality</w:t>
            </w:r>
            <w:r w:rsidR="00DB66F5">
              <w:rPr>
                <w:rFonts w:asciiTheme="majorBidi" w:hAnsiTheme="majorBidi" w:cstheme="majorBidi"/>
                <w:sz w:val="20"/>
                <w:szCs w:val="20"/>
              </w:rPr>
              <w:t>;</w:t>
            </w:r>
            <w:r w:rsidR="00793E1B">
              <w:rPr>
                <w:rFonts w:asciiTheme="majorBidi" w:hAnsiTheme="majorBidi" w:cstheme="majorBidi"/>
                <w:sz w:val="20"/>
                <w:szCs w:val="20"/>
              </w:rPr>
              <w:t xml:space="preserve"> and to ensure compliance with </w:t>
            </w:r>
            <w:r w:rsidR="00D21E85">
              <w:rPr>
                <w:rFonts w:asciiTheme="majorBidi" w:hAnsiTheme="majorBidi" w:cstheme="majorBidi"/>
                <w:sz w:val="20"/>
                <w:szCs w:val="20"/>
              </w:rPr>
              <w:t>international human rights law standards on the use of force under the law enforcement paradigm.</w:t>
            </w:r>
          </w:p>
          <w:p w14:paraId="302CC4DC" w14:textId="3AD253CD" w:rsidR="000B1317" w:rsidRDefault="00ED1192" w:rsidP="00094EAA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The alleged SSPDF aerial bombar</w:t>
            </w:r>
            <w:r w:rsidR="00246FCC">
              <w:rPr>
                <w:rFonts w:asciiTheme="majorBidi" w:hAnsiTheme="majorBidi" w:cstheme="majorBidi"/>
                <w:sz w:val="20"/>
                <w:szCs w:val="20"/>
              </w:rPr>
              <w:t xml:space="preserve">dment of </w:t>
            </w:r>
            <w:r w:rsidR="003D4BE9">
              <w:rPr>
                <w:rFonts w:asciiTheme="majorBidi" w:hAnsiTheme="majorBidi" w:cstheme="majorBidi"/>
                <w:sz w:val="20"/>
                <w:szCs w:val="20"/>
              </w:rPr>
              <w:t xml:space="preserve">Fangak </w:t>
            </w:r>
            <w:r w:rsidR="00DB66F5"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="003D4BE9">
              <w:rPr>
                <w:rFonts w:asciiTheme="majorBidi" w:hAnsiTheme="majorBidi" w:cstheme="majorBidi"/>
                <w:sz w:val="20"/>
                <w:szCs w:val="20"/>
              </w:rPr>
              <w:t>ounty</w:t>
            </w:r>
            <w:r w:rsidR="00DB66F5">
              <w:rPr>
                <w:rFonts w:asciiTheme="majorBidi" w:hAnsiTheme="majorBidi" w:cstheme="majorBidi"/>
                <w:sz w:val="20"/>
                <w:szCs w:val="20"/>
              </w:rPr>
              <w:t>, Jonglei State</w:t>
            </w:r>
            <w:r w:rsidR="00D21E85">
              <w:rPr>
                <w:rFonts w:asciiTheme="majorBidi" w:hAnsiTheme="majorBidi" w:cstheme="majorBidi"/>
                <w:sz w:val="20"/>
                <w:szCs w:val="20"/>
              </w:rPr>
              <w:t xml:space="preserve"> demonstrate</w:t>
            </w:r>
            <w:r w:rsidR="00A80FD9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="00D21E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A80FD9">
              <w:rPr>
                <w:rFonts w:asciiTheme="majorBidi" w:hAnsiTheme="majorBidi" w:cstheme="majorBidi"/>
                <w:sz w:val="20"/>
                <w:szCs w:val="20"/>
              </w:rPr>
              <w:t xml:space="preserve">a continued trend of indiscriminate </w:t>
            </w:r>
            <w:r w:rsidR="00D21E85">
              <w:rPr>
                <w:rFonts w:asciiTheme="majorBidi" w:hAnsiTheme="majorBidi" w:cstheme="majorBidi"/>
                <w:sz w:val="20"/>
                <w:szCs w:val="20"/>
              </w:rPr>
              <w:t>aerial bombardments of civilian-populated areas in the context of hostilities between the</w:t>
            </w:r>
            <w:r w:rsidR="00A80FD9">
              <w:rPr>
                <w:rFonts w:asciiTheme="majorBidi" w:hAnsiTheme="majorBidi" w:cstheme="majorBidi"/>
                <w:sz w:val="20"/>
                <w:szCs w:val="20"/>
              </w:rPr>
              <w:t xml:space="preserve"> SSPDF and the SPLA-IO and White Army.</w:t>
            </w:r>
            <w:r w:rsidR="005258A5">
              <w:rPr>
                <w:rFonts w:asciiTheme="majorBidi" w:hAnsiTheme="majorBidi" w:cstheme="majorBidi"/>
                <w:sz w:val="20"/>
                <w:szCs w:val="20"/>
              </w:rPr>
              <w:t xml:space="preserve"> Further investigation is required to confirm civilian casualties.</w:t>
            </w:r>
            <w:r w:rsidR="003B7EE8">
              <w:rPr>
                <w:rFonts w:asciiTheme="majorBidi" w:hAnsiTheme="majorBidi" w:cstheme="majorBidi"/>
                <w:sz w:val="20"/>
                <w:szCs w:val="20"/>
              </w:rPr>
              <w:t xml:space="preserve"> HRD recommends key leadership engagement to urge </w:t>
            </w:r>
            <w:proofErr w:type="spellStart"/>
            <w:r w:rsidR="003B7EE8">
              <w:rPr>
                <w:rFonts w:asciiTheme="majorBidi" w:hAnsiTheme="majorBidi" w:cstheme="majorBidi"/>
                <w:sz w:val="20"/>
                <w:szCs w:val="20"/>
              </w:rPr>
              <w:t>GoSS</w:t>
            </w:r>
            <w:proofErr w:type="spellEnd"/>
            <w:r w:rsidR="003B7EE8">
              <w:rPr>
                <w:rFonts w:asciiTheme="majorBidi" w:hAnsiTheme="majorBidi" w:cstheme="majorBidi"/>
                <w:sz w:val="20"/>
                <w:szCs w:val="20"/>
              </w:rPr>
              <w:t xml:space="preserve"> and SSPDF to comply with the IHL rules governing the conduct of hostilities. </w:t>
            </w:r>
          </w:p>
          <w:p w14:paraId="4C5194B4" w14:textId="6F6A09D7" w:rsidR="003B7EE8" w:rsidRPr="00094EAA" w:rsidRDefault="00076402" w:rsidP="00B94CA1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In Eastern Equatoria State, the death of the 17-year-old boy following alleged acts of torture by the Governor’s bodyguards demonstrates the continued willingness of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GoSS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officials </w:t>
            </w:r>
            <w:r w:rsidR="003B373D">
              <w:rPr>
                <w:rFonts w:asciiTheme="majorBidi" w:hAnsiTheme="majorBidi" w:cstheme="majorBidi"/>
                <w:sz w:val="20"/>
                <w:szCs w:val="20"/>
              </w:rPr>
              <w:t>and security forces to engage in extrajudicial killings</w:t>
            </w:r>
            <w:r w:rsidR="005258A5">
              <w:rPr>
                <w:rFonts w:asciiTheme="majorBidi" w:hAnsiTheme="majorBidi" w:cstheme="majorBidi"/>
                <w:sz w:val="20"/>
                <w:szCs w:val="20"/>
              </w:rPr>
              <w:t xml:space="preserve"> as a means of responding to alleged criminality</w:t>
            </w:r>
            <w:r w:rsidR="003B373D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="005258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</w:tcPr>
          <w:p w14:paraId="333204B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6C2B9FF" w14:textId="3FA4AE3A" w:rsidR="00DC12A7" w:rsidRPr="006E7496" w:rsidRDefault="00DC12A7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080C8E90" w14:textId="77777777" w:rsidTr="006E7496">
        <w:tc>
          <w:tcPr>
            <w:tcW w:w="1709" w:type="dxa"/>
          </w:tcPr>
          <w:p w14:paraId="26CC09AD" w14:textId="572DE255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Civic and Political Space</w:t>
            </w:r>
          </w:p>
        </w:tc>
        <w:tc>
          <w:tcPr>
            <w:tcW w:w="3596" w:type="dxa"/>
          </w:tcPr>
          <w:p w14:paraId="7C9BE685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71342D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01D98AEB" w14:textId="77777777" w:rsidR="009C6DB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Based on quarterly and</w:t>
            </w:r>
            <w:r w:rsidR="00DC12A7" w:rsidRPr="006E7496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r w:rsidRPr="006E7496">
              <w:rPr>
                <w:rFonts w:asciiTheme="majorBidi" w:hAnsiTheme="majorBidi" w:cstheme="majorBidi"/>
                <w:sz w:val="20"/>
                <w:szCs w:val="20"/>
              </w:rPr>
              <w:t>or ad hoc updates on specific incidents+ Bearing in mind the need to ensure HRD takes into consideration inputs from other components.</w:t>
            </w:r>
          </w:p>
          <w:p w14:paraId="03E770C2" w14:textId="320C9235" w:rsidR="006E7496" w:rsidRPr="006E7496" w:rsidRDefault="006E749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7B85EA63" w14:textId="77777777" w:rsidTr="006E7496">
        <w:tc>
          <w:tcPr>
            <w:tcW w:w="1709" w:type="dxa"/>
          </w:tcPr>
          <w:p w14:paraId="64C5EECC" w14:textId="587C9B5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Transitional Justice</w:t>
            </w:r>
          </w:p>
        </w:tc>
        <w:tc>
          <w:tcPr>
            <w:tcW w:w="3596" w:type="dxa"/>
          </w:tcPr>
          <w:p w14:paraId="1866E2B3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4960ABCF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4627E251" w14:textId="38F9272D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BCF954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E13B7A8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0C89E091" w14:textId="77777777" w:rsidTr="006E7496">
        <w:tc>
          <w:tcPr>
            <w:tcW w:w="1709" w:type="dxa"/>
          </w:tcPr>
          <w:p w14:paraId="41B42B6F" w14:textId="04FF5F09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CRSV</w:t>
            </w:r>
          </w:p>
        </w:tc>
        <w:tc>
          <w:tcPr>
            <w:tcW w:w="3596" w:type="dxa"/>
          </w:tcPr>
          <w:p w14:paraId="37F30F0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DE72FA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5AD5EDE3" w14:textId="1CAC0276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29440E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45B1ABA1" w14:textId="77777777" w:rsidTr="006E7496">
        <w:tc>
          <w:tcPr>
            <w:tcW w:w="1709" w:type="dxa"/>
          </w:tcPr>
          <w:p w14:paraId="5B7DDE76" w14:textId="5D7A2143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Accountability </w:t>
            </w:r>
          </w:p>
        </w:tc>
        <w:tc>
          <w:tcPr>
            <w:tcW w:w="3596" w:type="dxa"/>
          </w:tcPr>
          <w:p w14:paraId="06CC308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60D57DC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279CE72C" w14:textId="77777777" w:rsidR="009C6DB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Bearing in mind the need to ensure HRD takes into consideration inputs from other components</w:t>
            </w:r>
            <w:r w:rsidR="006E749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26DA452" w14:textId="11B2FB18" w:rsidR="006E7496" w:rsidRPr="006E7496" w:rsidRDefault="006E749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7C334EF5" w14:textId="77777777" w:rsidTr="006E7496">
        <w:tc>
          <w:tcPr>
            <w:tcW w:w="1709" w:type="dxa"/>
          </w:tcPr>
          <w:p w14:paraId="241132C4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HRDDP</w:t>
            </w:r>
          </w:p>
          <w:p w14:paraId="39A1A9EC" w14:textId="7941A92D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0A00933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1B85C79E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531C353D" w14:textId="79465DB4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31F4CF50" w14:textId="77777777" w:rsidTr="006E7496">
        <w:trPr>
          <w:trHeight w:val="773"/>
        </w:trPr>
        <w:tc>
          <w:tcPr>
            <w:tcW w:w="1709" w:type="dxa"/>
          </w:tcPr>
          <w:p w14:paraId="22F15E3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6C7F676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366004A2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6EAEC67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2AEC5230" w14:textId="77777777" w:rsidTr="006E7496">
        <w:tc>
          <w:tcPr>
            <w:tcW w:w="1709" w:type="dxa"/>
          </w:tcPr>
          <w:p w14:paraId="42D94D86" w14:textId="5A85F50F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96" w:type="dxa"/>
          </w:tcPr>
          <w:p w14:paraId="6414C0C7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B34780D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76EE3175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C6DB6" w:rsidRPr="006E7496" w14:paraId="49F06221" w14:textId="77777777" w:rsidTr="006E7496">
        <w:tc>
          <w:tcPr>
            <w:tcW w:w="1709" w:type="dxa"/>
          </w:tcPr>
          <w:p w14:paraId="5E787976" w14:textId="601722AE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Other engagements </w:t>
            </w:r>
            <w:proofErr w:type="gramStart"/>
            <w:r w:rsidRPr="006E7496">
              <w:rPr>
                <w:rFonts w:asciiTheme="majorBidi" w:hAnsiTheme="majorBidi" w:cstheme="majorBidi"/>
                <w:sz w:val="20"/>
                <w:szCs w:val="20"/>
              </w:rPr>
              <w:t>including with</w:t>
            </w:r>
            <w:proofErr w:type="gramEnd"/>
            <w:r w:rsidRPr="006E7496">
              <w:rPr>
                <w:rFonts w:asciiTheme="majorBidi" w:hAnsiTheme="majorBidi" w:cstheme="majorBidi"/>
                <w:sz w:val="20"/>
                <w:szCs w:val="20"/>
              </w:rPr>
              <w:t xml:space="preserve"> UNCT/HCT</w:t>
            </w:r>
          </w:p>
        </w:tc>
        <w:tc>
          <w:tcPr>
            <w:tcW w:w="3596" w:type="dxa"/>
          </w:tcPr>
          <w:p w14:paraId="4ED883C6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0B8A12AA" w14:textId="7777777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150" w:type="dxa"/>
          </w:tcPr>
          <w:p w14:paraId="63442FF3" w14:textId="1C9E9A17" w:rsidR="009C6DB6" w:rsidRPr="006E7496" w:rsidRDefault="009C6DB6" w:rsidP="006E7496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D55221D" w14:textId="77777777" w:rsidR="00967186" w:rsidRPr="006E7496" w:rsidRDefault="00967186" w:rsidP="006E7496">
      <w:pPr>
        <w:spacing w:line="240" w:lineRule="auto"/>
        <w:rPr>
          <w:rFonts w:asciiTheme="majorBidi" w:hAnsiTheme="majorBidi" w:cstheme="majorBidi"/>
          <w:sz w:val="20"/>
          <w:szCs w:val="20"/>
        </w:rPr>
      </w:pPr>
    </w:p>
    <w:sectPr w:rsidR="00967186" w:rsidRPr="006E7496" w:rsidSect="009C6DB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9E5"/>
    <w:multiLevelType w:val="hybridMultilevel"/>
    <w:tmpl w:val="2422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8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23EF7"/>
    <w:rsid w:val="000411B5"/>
    <w:rsid w:val="00076402"/>
    <w:rsid w:val="000808CA"/>
    <w:rsid w:val="00094EAA"/>
    <w:rsid w:val="000B1317"/>
    <w:rsid w:val="00100909"/>
    <w:rsid w:val="00125EB4"/>
    <w:rsid w:val="00144DD7"/>
    <w:rsid w:val="00195DA6"/>
    <w:rsid w:val="001A029D"/>
    <w:rsid w:val="001C56AD"/>
    <w:rsid w:val="001D1E96"/>
    <w:rsid w:val="00225374"/>
    <w:rsid w:val="00246FCC"/>
    <w:rsid w:val="00276903"/>
    <w:rsid w:val="002901E2"/>
    <w:rsid w:val="002B680D"/>
    <w:rsid w:val="002C0AE7"/>
    <w:rsid w:val="002F3A95"/>
    <w:rsid w:val="00316FEF"/>
    <w:rsid w:val="003177A2"/>
    <w:rsid w:val="00355FD3"/>
    <w:rsid w:val="003743A7"/>
    <w:rsid w:val="003B373D"/>
    <w:rsid w:val="003B7EE8"/>
    <w:rsid w:val="003D4BE9"/>
    <w:rsid w:val="003D60F7"/>
    <w:rsid w:val="00410A21"/>
    <w:rsid w:val="004124CC"/>
    <w:rsid w:val="004A0C93"/>
    <w:rsid w:val="004A32AF"/>
    <w:rsid w:val="004A6601"/>
    <w:rsid w:val="004A66A8"/>
    <w:rsid w:val="004C6F4B"/>
    <w:rsid w:val="004E57CE"/>
    <w:rsid w:val="00513E21"/>
    <w:rsid w:val="005258A5"/>
    <w:rsid w:val="006005FA"/>
    <w:rsid w:val="00607525"/>
    <w:rsid w:val="0064357F"/>
    <w:rsid w:val="006D7216"/>
    <w:rsid w:val="006E461D"/>
    <w:rsid w:val="006E737F"/>
    <w:rsid w:val="006E7496"/>
    <w:rsid w:val="007511D3"/>
    <w:rsid w:val="007566AF"/>
    <w:rsid w:val="00757BA5"/>
    <w:rsid w:val="00792479"/>
    <w:rsid w:val="00793E1B"/>
    <w:rsid w:val="007B30B4"/>
    <w:rsid w:val="007C6EC0"/>
    <w:rsid w:val="00825C8B"/>
    <w:rsid w:val="00860087"/>
    <w:rsid w:val="008829E8"/>
    <w:rsid w:val="008D725F"/>
    <w:rsid w:val="008F0312"/>
    <w:rsid w:val="009616CE"/>
    <w:rsid w:val="00967186"/>
    <w:rsid w:val="00972B2C"/>
    <w:rsid w:val="00997917"/>
    <w:rsid w:val="009A492A"/>
    <w:rsid w:val="009B26B1"/>
    <w:rsid w:val="009C6DB6"/>
    <w:rsid w:val="00A021F7"/>
    <w:rsid w:val="00A21AD7"/>
    <w:rsid w:val="00A51A64"/>
    <w:rsid w:val="00A80FD9"/>
    <w:rsid w:val="00AE3121"/>
    <w:rsid w:val="00AF05D5"/>
    <w:rsid w:val="00B17216"/>
    <w:rsid w:val="00B276D4"/>
    <w:rsid w:val="00B94CA1"/>
    <w:rsid w:val="00C56FC9"/>
    <w:rsid w:val="00C66D33"/>
    <w:rsid w:val="00C86C5F"/>
    <w:rsid w:val="00CC1A91"/>
    <w:rsid w:val="00CE0EAC"/>
    <w:rsid w:val="00CF743E"/>
    <w:rsid w:val="00D21E85"/>
    <w:rsid w:val="00D536F4"/>
    <w:rsid w:val="00D7241F"/>
    <w:rsid w:val="00DB66F5"/>
    <w:rsid w:val="00DC12A7"/>
    <w:rsid w:val="00E4723D"/>
    <w:rsid w:val="00ED1192"/>
    <w:rsid w:val="00F27669"/>
    <w:rsid w:val="00F40E4B"/>
    <w:rsid w:val="00F412EC"/>
    <w:rsid w:val="00F5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1040</Words>
  <Characters>5934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2</cp:revision>
  <dcterms:created xsi:type="dcterms:W3CDTF">2025-09-19T16:56:00Z</dcterms:created>
  <dcterms:modified xsi:type="dcterms:W3CDTF">2025-09-19T16:56:00Z</dcterms:modified>
</cp:coreProperties>
</file>