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Hiragino Sans GB" w:hAnsi="Hiragino Sans GB" w:eastAsia="Hiragino Sans GB"/>
          <w:b/>
          <w:i w:val="0"/>
          <w:color w:val="D94236"/>
          <w:sz w:val="18"/>
        </w:rPr>
        <w:t>UGC FLOW OPERATOR GUIDE</w:t>
      </w:r>
    </w:p>
    <w:p>
      <w:pPr>
        <w:spacing w:after="140"/>
      </w:pPr>
      <w:r>
        <w:rPr>
          <w:rFonts w:ascii="Hiragino Sans GB" w:hAnsi="Hiragino Sans GB" w:eastAsia="Hiragino Sans GB"/>
          <w:b/>
          <w:i w:val="0"/>
          <w:color w:val="20292F"/>
          <w:sz w:val="46"/>
        </w:rPr>
        <w:t>UGC Flow API 接入说明</w:t>
      </w:r>
    </w:p>
    <w:p>
      <w:pPr>
        <w:spacing w:after="360"/>
      </w:pPr>
      <w:r>
        <w:rPr>
          <w:rFonts w:ascii="Hiragino Sans GB" w:hAnsi="Hiragino Sans GB" w:eastAsia="Hiragino Sans GB"/>
          <w:b w:val="0"/>
          <w:i w:val="0"/>
          <w:color w:val="68727A"/>
          <w:sz w:val="21"/>
        </w:rPr>
        <w:t>Mac 版 1.3.0  ·  Codex / Claude 智能体 + 图片与视频 API</w:t>
      </w:r>
    </w:p>
    <w:p>
      <w:pPr>
        <w:spacing w:after="200"/>
        <w:pBdr>
          <w:bottom w:val="single" w:sz="10" w:space="1" w:color="D94236"/>
        </w:pBdr>
      </w:pP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版本：1.3.0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原则：文本由 Codex/Claude 处理；媒体 API 只负责图片和视频。</w:t>
      </w:r>
    </w:p>
    <w:p>
      <w:pPr>
        <w:pStyle w:val="Heading1"/>
      </w:pPr>
      <w:r>
        <w:t>1. 通用鉴权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系统支持：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Authorization: Bearer &lt;API_KEY&gt;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x-api-key: &lt;API_KEY&gt;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x-goog-api-key: &lt;API_KEY&gt;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查询参数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?key=&lt;API_KEY&gt;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自定义 Header 与前缀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Base URL 可填写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https://host.example/v1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或供应商根地址。系统会规范重复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/v1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并尝试候选端点。</w:t>
      </w:r>
    </w:p>
    <w:p>
      <w:pPr>
        <w:pStyle w:val="Heading1"/>
      </w:pPr>
      <w:r>
        <w:t>2. ToAPIs Grok Video 3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创建任务：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POST /v1/videos/generations</w:t>
      </w:r>
    </w:p>
    <w:p>
      <w:pPr>
        <w:spacing w:before="80" w:after="160"/>
        <w:ind w:left="259" w:right="259"/>
        <w:shd w:fill="F5F6F8"/>
      </w:pPr>
      <w:r>
        <w:rPr>
          <w:rFonts w:ascii="Hiragino Sans GB" w:hAnsi="Hiragino Sans GB" w:eastAsia="Hiragino Sans GB"/>
          <w:b w:val="0"/>
          <w:i w:val="0"/>
          <w:color w:val="20292F"/>
          <w:sz w:val="16"/>
        </w:rPr>
        <w:t>{</w:t>
        <w:br/>
        <w:t xml:space="preserve">  "model": "grok-video-3",</w:t>
        <w:br/>
        <w:t xml:space="preserve">  "prompt": "人物自然展示商品，真实手机自拍视频，镜头轻微推进",</w:t>
        <w:br/>
        <w:t xml:space="preserve">  "duration": 10,</w:t>
        <w:br/>
        <w:t xml:space="preserve">  "aspect_ratio": "9:16",</w:t>
        <w:br/>
        <w:t xml:space="preserve">  "images": ["https://cdn.example.com/product.png"],</w:t>
        <w:br/>
        <w:t xml:space="preserve">  "metadata": {"resolution": "720P"}</w:t>
        <w:br/>
        <w:t>}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关键约束：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duration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是整数，公开规格为 10/15；实际可用档位取决于渠道计费配置。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images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是公网 URL 数组，不支持本地路径。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metadata.resolution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为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720P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或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1080P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查询任务：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GET /v1/videos/generations/{task_id}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完成结果通常位于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result.data[0].url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Heading1"/>
      </w:pPr>
      <w:r>
        <w:t>3. xAI 官方 Grok Imagine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官方模型 ID：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grok-imagine-video-1.5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，预览别名为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grok-imagine-video-1.5-preview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。不要与中转站的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grok-video-*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混用。</w:t>
      </w:r>
    </w:p>
    <w:p>
      <w:pPr>
        <w:spacing w:before="80" w:after="160"/>
        <w:ind w:left="259" w:right="259"/>
        <w:shd w:fill="F5F6F8"/>
      </w:pPr>
      <w:r>
        <w:rPr>
          <w:rFonts w:ascii="Hiragino Sans GB" w:hAnsi="Hiragino Sans GB" w:eastAsia="Hiragino Sans GB"/>
          <w:b w:val="0"/>
          <w:i w:val="0"/>
          <w:color w:val="20292F"/>
          <w:sz w:val="16"/>
        </w:rPr>
        <w:t>{</w:t>
        <w:br/>
        <w:t xml:space="preserve">  "model": "grok-imagine-video-1.5",</w:t>
        <w:br/>
        <w:t xml:space="preserve">  "prompt": "Animate the product naturally",</w:t>
        <w:br/>
        <w:t xml:space="preserve">  "duration": 10,</w:t>
        <w:br/>
        <w:t xml:space="preserve">  "aspect_ratio": "9:16",</w:t>
        <w:br/>
        <w:t xml:space="preserve">  "resolution": "720p",</w:t>
        <w:br/>
        <w:t xml:space="preserve">  "image": {"url": "https://cdn.example.com/product.png"}</w:t>
        <w:br/>
        <w:t>}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创建：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POST /v1/videos/generations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；查询：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GET /v1/videos/{request_id}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；完成 URL：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video.url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Heading1"/>
      </w:pPr>
      <w:r>
        <w:t>4. 通用媒体任务协议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部分中转站使用固定三字段结构：</w:t>
      </w:r>
    </w:p>
    <w:p>
      <w:pPr>
        <w:spacing w:before="80" w:after="160"/>
        <w:ind w:left="259" w:right="259"/>
        <w:shd w:fill="F5F6F8"/>
      </w:pPr>
      <w:r>
        <w:rPr>
          <w:rFonts w:ascii="Hiragino Sans GB" w:hAnsi="Hiragino Sans GB" w:eastAsia="Hiragino Sans GB"/>
          <w:b w:val="0"/>
          <w:i w:val="0"/>
          <w:color w:val="20292F"/>
          <w:sz w:val="16"/>
        </w:rPr>
        <w:t>{</w:t>
        <w:br/>
        <w:t xml:space="preserve">  "model": "vendor-video-model",</w:t>
        <w:br/>
        <w:t xml:space="preserve">  "prompt": "视频动作描述",</w:t>
        <w:br/>
        <w:t xml:space="preserve">  "params": {</w:t>
        <w:br/>
        <w:t xml:space="preserve">    "images": "https://cdn.example.com/product.png",</w:t>
        <w:br/>
        <w:t xml:space="preserve">    "aspect_ratio": "9:16",</w:t>
        <w:br/>
        <w:t xml:space="preserve">    "resolution": "720p",</w:t>
        <w:br/>
        <w:t xml:space="preserve">    "duration": "10"</w:t>
        <w:br/>
        <w:t xml:space="preserve">  },</w:t>
        <w:br/>
        <w:t xml:space="preserve">  "notify_url": "https://merchant.example.com/webhook"</w:t>
        <w:br/>
        <w:t>}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创建：常见为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POST /v1/media/generate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查询：常见为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GET /v1/media/status?task_id={id}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notify_url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必须位于顶层，不能放入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params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是否使用字符串或数字时长，以供应商模型文档为准。</w:t>
      </w:r>
    </w:p>
    <w:p>
      <w:pPr>
        <w:pStyle w:val="Heading1"/>
      </w:pPr>
      <w:r>
        <w:t>5. 图片上传与公网 URL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视频模型只接受 URL 时，系统依次尝试：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图片模型直接返回的公网 URL。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供应商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/v1/uploads/images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或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/uploads/images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用户填写的自定义 multipart、JSON data URL 或 PUT 上传服务。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上传成功响应可从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url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、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data.url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、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result.url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、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file.url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等常见字段自动识别，也可配置字段路径。</w:t>
      </w:r>
    </w:p>
    <w:p>
      <w:pPr>
        <w:pStyle w:val="Heading1"/>
      </w:pPr>
      <w:r>
        <w:t>6. 错误诊断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模型不存在：从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/models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读取当前 Key 实际可用模型，不要只用展示名。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参考图缺失：确认请求体字段和图片 URL 在公网可访问。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非 JSON：候选地址可能是网站前台；系统会继续尝试其他端点。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网络断开：连接重置、DNS 和超时会作为可恢复错误切换端点。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计费规则失败：调整模型、时长、分辨率，或联系渠道开通价格规则。</w:t>
      </w:r>
    </w:p>
    <w:p>
      <w:pPr>
        <w:pStyle w:val="Heading1"/>
      </w:pPr>
      <w:r>
        <w:t>7. 上线验收清单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模型 ID 来自当前供应商文档或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/models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使用正确协议和创建端点。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图片 URL 可从公网匿名读取。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时长类型、大小写、分辨率字段完全符合文档。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能取得 task ID、轮询进度和最终视频 URL。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下载后检查实际时长、画面比例和音轨。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936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68727A"/>
        <w:sz w:val="18"/>
      </w:rPr>
      <w:t xml:space="preserve">第 </w:t>
    </w:r>
    <w:fldSimple w:instr="PAGE"/>
    <w:r>
      <w:rPr>
        <w:rFonts w:ascii="Hiragino Sans GB" w:hAnsi="Hiragino Sans GB" w:eastAsia="Hiragino Sans GB"/>
        <w:b w:val="0"/>
        <w:i w:val="0"/>
        <w:color w:val="6872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b/>
        <w:i w:val="0"/>
        <w:color w:val="68727A"/>
        <w:sz w:val="17"/>
      </w:rPr>
      <w:t>UGC FLOW  ·  发布资料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iragino Sans GB" w:hAnsi="Hiragino Sans GB" w:eastAsia="Hiragino Sans GB"/>
      <w:color w:val="2029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9423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942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029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