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</w:pPr>
      <w:r>
        <w:rPr>
          <w:rFonts w:ascii="Hiragino Sans GB" w:hAnsi="Hiragino Sans GB" w:eastAsia="Hiragino Sans GB"/>
          <w:b/>
          <w:i w:val="0"/>
          <w:color w:val="D94236"/>
          <w:sz w:val="18"/>
        </w:rPr>
        <w:t>UGC FLOW OPERATOR GUIDE</w:t>
      </w:r>
    </w:p>
    <w:p>
      <w:pPr>
        <w:spacing w:after="140"/>
      </w:pPr>
      <w:r>
        <w:rPr>
          <w:rFonts w:ascii="Hiragino Sans GB" w:hAnsi="Hiragino Sans GB" w:eastAsia="Hiragino Sans GB"/>
          <w:b/>
          <w:i w:val="0"/>
          <w:color w:val="20292F"/>
          <w:sz w:val="46"/>
        </w:rPr>
        <w:t>UGC Flow 软件操作说明</w:t>
      </w:r>
    </w:p>
    <w:p>
      <w:pPr>
        <w:spacing w:after="360"/>
      </w:pPr>
      <w:r>
        <w:rPr>
          <w:rFonts w:ascii="Hiragino Sans GB" w:hAnsi="Hiragino Sans GB" w:eastAsia="Hiragino Sans GB"/>
          <w:b w:val="0"/>
          <w:i w:val="0"/>
          <w:color w:val="68727A"/>
          <w:sz w:val="21"/>
        </w:rPr>
        <w:t>Mac 版 1.3.1  ·  Codex / Claude 智能体 + 图片与视频 API</w:t>
      </w:r>
    </w:p>
    <w:p>
      <w:pPr>
        <w:spacing w:after="200"/>
        <w:pBdr>
          <w:bottom w:val="single" w:sz="10" w:space="1" w:color="D94236"/>
        </w:pBdr>
      </w:pPr>
    </w:p>
    <w:p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版本：1.3.1（Mac Apple Silicon）</w:t>
      </w:r>
    </w:p>
    <w:p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适用对象：商家、短视频运营、UGC 创作者</w:t>
      </w:r>
    </w:p>
    <w:p>
      <w:pPr>
        <w:pStyle w:val="Heading1"/>
      </w:pPr>
      <w:r>
        <w:t>1. 安装与启动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 xml:space="preserve">双击 </w:t>
      </w:r>
      <w:r>
        <w:rPr>
          <w:rFonts w:ascii="Hiragino Sans GB" w:hAnsi="Hiragino Sans GB" w:eastAsia="Hiragino Sans GB"/>
          <w:b w:val="0"/>
          <w:i w:val="0"/>
          <w:color w:val="8A2D25"/>
          <w:sz w:val="18"/>
        </w:rPr>
        <w:t>UGC-Flow-Mac-1.3.1-arm64.dmg</w:t>
      </w: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。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打开“UGC Flow 安装器”，选择部署到 Codex、Claude Code 或两者。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 xml:space="preserve">安装完成后访问 </w:t>
      </w:r>
      <w:r>
        <w:rPr>
          <w:rFonts w:ascii="Hiragino Sans GB" w:hAnsi="Hiragino Sans GB" w:eastAsia="Hiragino Sans GB"/>
          <w:b w:val="0"/>
          <w:i w:val="0"/>
          <w:color w:val="8A2D25"/>
          <w:sz w:val="18"/>
        </w:rPr>
        <w:t>http://127.0.0.1:18787/</w:t>
      </w: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。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首次启动进入“智能体与 API”，确认 Codex/Claude 已连接。</w:t>
      </w:r>
    </w:p>
    <w:p>
      <w:pPr>
        <w:spacing w:before="80" w:after="160"/>
        <w:ind w:left="259" w:right="259"/>
        <w:shd w:fill="FFF3F1"/>
      </w:pP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API Key 只保存在当前页面会话。重新安装、关闭标签页或清理浏览器状态后需要重新填写。</w:t>
      </w:r>
    </w:p>
    <w:p>
      <w:pPr>
        <w:pStyle w:val="Heading1"/>
      </w:pPr>
      <w:r>
        <w:t>2. 最快生成流程</w:t>
      </w:r>
    </w:p>
    <w:p>
      <w:pPr>
        <w:spacing w:after="80" w:line="276" w:lineRule="auto"/>
        <w:numPr>
          <w:ilvl w:val="0"/>
          <w:numId w:val="11"/>
        </w:numPr>
      </w:pP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填写产品名称、3-6 个真实卖点和目标人群。</w:t>
      </w:r>
    </w:p>
    <w:p>
      <w:pPr>
        <w:spacing w:after="80" w:line="276" w:lineRule="auto"/>
        <w:numPr>
          <w:ilvl w:val="0"/>
          <w:numId w:val="11"/>
        </w:numPr>
      </w:pP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上传 1 张清晰商品图；图生视频模型必须有参考图。</w:t>
      </w:r>
    </w:p>
    <w:p>
      <w:pPr>
        <w:spacing w:after="80" w:line="276" w:lineRule="auto"/>
        <w:numPr>
          <w:ilvl w:val="0"/>
          <w:numId w:val="11"/>
        </w:numPr>
      </w:pP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选择爆款格式，或保持“自动匹配最佳格式”。</w:t>
      </w:r>
    </w:p>
    <w:p>
      <w:pPr>
        <w:spacing w:after="80" w:line="276" w:lineRule="auto"/>
        <w:numPr>
          <w:ilvl w:val="0"/>
          <w:numId w:val="11"/>
        </w:numPr>
      </w:pP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打开“智能体与 API”，关闭演示模式。</w:t>
      </w:r>
    </w:p>
    <w:p>
      <w:pPr>
        <w:spacing w:after="80" w:line="276" w:lineRule="auto"/>
        <w:numPr>
          <w:ilvl w:val="0"/>
          <w:numId w:val="11"/>
        </w:numPr>
      </w:pP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输入媒体 API Base URL 与 Key，选择视频模型、时长、分辨率和比例。</w:t>
      </w:r>
    </w:p>
    <w:p>
      <w:pPr>
        <w:spacing w:after="80" w:line="276" w:lineRule="auto"/>
        <w:numPr>
          <w:ilvl w:val="0"/>
          <w:numId w:val="11"/>
        </w:numPr>
      </w:pP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点击“智能识别并测试”，确认连接正常。</w:t>
      </w:r>
    </w:p>
    <w:p>
      <w:pPr>
        <w:spacing w:after="80" w:line="276" w:lineRule="auto"/>
        <w:numPr>
          <w:ilvl w:val="0"/>
          <w:numId w:val="11"/>
        </w:numPr>
      </w:pP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保存配置，点击“一键生成带货视频”。</w:t>
      </w:r>
    </w:p>
    <w:p>
      <w:pPr>
        <w:spacing w:after="80" w:line="276" w:lineRule="auto"/>
        <w:numPr>
          <w:ilvl w:val="0"/>
          <w:numId w:val="11"/>
        </w:numPr>
      </w:pP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在右侧依次预览图片、视频，完成后点击“下载视频”。</w:t>
      </w:r>
    </w:p>
    <w:p>
      <w:pPr>
        <w:pStyle w:val="Heading1"/>
      </w:pPr>
      <w:r>
        <w:t>3. 图片来源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Codex 生图：Codex 生成图片提示词；环境能返回下载 URL 时直接使用，否则自动切换图片 API。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异步图片 API：提交图片任务并轮询公网图片 URL。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上传参考图：直接使用商品图；若视频接口要求公网 URL，系统尝试供应商上传接口。</w:t>
      </w:r>
    </w:p>
    <w:p>
      <w:pPr>
        <w:pStyle w:val="Heading1"/>
      </w:pPr>
      <w:r>
        <w:t>4. 推荐的 ToAPIs Grok 配置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Base URL：</w:t>
      </w:r>
      <w:r>
        <w:rPr>
          <w:rFonts w:ascii="Hiragino Sans GB" w:hAnsi="Hiragino Sans GB" w:eastAsia="Hiragino Sans GB"/>
          <w:b w:val="0"/>
          <w:i w:val="0"/>
          <w:color w:val="8A2D25"/>
          <w:sz w:val="18"/>
        </w:rPr>
        <w:t>https://toapis.com/v1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协议：普通兼容 JSON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模型：</w:t>
      </w:r>
      <w:r>
        <w:rPr>
          <w:rFonts w:ascii="Hiragino Sans GB" w:hAnsi="Hiragino Sans GB" w:eastAsia="Hiragino Sans GB"/>
          <w:b w:val="0"/>
          <w:i w:val="0"/>
          <w:color w:val="8A2D25"/>
          <w:sz w:val="18"/>
        </w:rPr>
        <w:t>grok-video-3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时长：先用 10 秒；15 秒需要当前渠道已配置对应计费规则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比例：</w:t>
      </w:r>
      <w:r>
        <w:rPr>
          <w:rFonts w:ascii="Hiragino Sans GB" w:hAnsi="Hiragino Sans GB" w:eastAsia="Hiragino Sans GB"/>
          <w:b w:val="0"/>
          <w:i w:val="0"/>
          <w:color w:val="8A2D25"/>
          <w:sz w:val="18"/>
        </w:rPr>
        <w:t>9:16</w:t>
      </w: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 xml:space="preserve"> 或 </w:t>
      </w:r>
      <w:r>
        <w:rPr>
          <w:rFonts w:ascii="Hiragino Sans GB" w:hAnsi="Hiragino Sans GB" w:eastAsia="Hiragino Sans GB"/>
          <w:b w:val="0"/>
          <w:i w:val="0"/>
          <w:color w:val="8A2D25"/>
          <w:sz w:val="18"/>
        </w:rPr>
        <w:t>16:9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分辨率：</w:t>
      </w:r>
      <w:r>
        <w:rPr>
          <w:rFonts w:ascii="Hiragino Sans GB" w:hAnsi="Hiragino Sans GB" w:eastAsia="Hiragino Sans GB"/>
          <w:b w:val="0"/>
          <w:i w:val="0"/>
          <w:color w:val="8A2D25"/>
          <w:sz w:val="18"/>
        </w:rPr>
        <w:t>720P</w:t>
      </w: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 xml:space="preserve"> 或 </w:t>
      </w:r>
      <w:r>
        <w:rPr>
          <w:rFonts w:ascii="Hiragino Sans GB" w:hAnsi="Hiragino Sans GB" w:eastAsia="Hiragino Sans GB"/>
          <w:b w:val="0"/>
          <w:i w:val="0"/>
          <w:color w:val="8A2D25"/>
          <w:sz w:val="18"/>
        </w:rPr>
        <w:t>1080P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图片来源：上传参考图或可返回公网 URL 的图片 API</w:t>
      </w:r>
    </w:p>
    <w:p>
      <w:pPr>
        <w:pStyle w:val="Heading1"/>
      </w:pPr>
      <w:r>
        <w:t>5. 任务阶段</w:t>
      </w:r>
    </w:p>
    <w:p>
      <w:pPr>
        <w:spacing w:after="80" w:line="276" w:lineRule="auto"/>
        <w:numPr>
          <w:ilvl w:val="0"/>
          <w:numId w:val="12"/>
        </w:numPr>
      </w:pP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智能体分析：Codex/Claude 使用自身额度分析商品。</w:t>
      </w:r>
    </w:p>
    <w:p>
      <w:pPr>
        <w:spacing w:after="80" w:line="276" w:lineRule="auto"/>
        <w:numPr>
          <w:ilvl w:val="0"/>
          <w:numId w:val="12"/>
        </w:numPr>
      </w:pP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镜头策略：生成 8 镜头脚本。</w:t>
      </w:r>
    </w:p>
    <w:p>
      <w:pPr>
        <w:spacing w:after="80" w:line="276" w:lineRule="auto"/>
        <w:numPr>
          <w:ilvl w:val="0"/>
          <w:numId w:val="12"/>
        </w:numPr>
      </w:pP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图片生成：生成或接收图片并回传预览。</w:t>
      </w:r>
    </w:p>
    <w:p>
      <w:pPr>
        <w:spacing w:after="80" w:line="276" w:lineRule="auto"/>
        <w:numPr>
          <w:ilvl w:val="0"/>
          <w:numId w:val="12"/>
        </w:numPr>
      </w:pP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产品锁定：固定包装、颜色、标签与外观。</w:t>
      </w:r>
    </w:p>
    <w:p>
      <w:pPr>
        <w:spacing w:after="80" w:line="276" w:lineRule="auto"/>
        <w:numPr>
          <w:ilvl w:val="0"/>
          <w:numId w:val="12"/>
        </w:numPr>
      </w:pP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视频生成：提交异步视频任务并轮询进度。</w:t>
      </w:r>
    </w:p>
    <w:p>
      <w:pPr>
        <w:spacing w:after="80" w:line="276" w:lineRule="auto"/>
        <w:numPr>
          <w:ilvl w:val="0"/>
          <w:numId w:val="12"/>
        </w:numPr>
      </w:pP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成片：播放器显示视频，可复制提示词、导出项目和下载视频。</w:t>
      </w:r>
    </w:p>
    <w:p>
      <w:pPr>
        <w:pStyle w:val="Heading1"/>
      </w:pPr>
      <w:r>
        <w:t>6. 常见问题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i w:val="0"/>
          <w:color w:val="8A2D25"/>
          <w:sz w:val="18"/>
        </w:rPr>
        <w:t>404 Not Found</w:t>
      </w: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：Base URL 或端点不匹配。优先填写 API 根地址并运行智能识别。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i w:val="0"/>
          <w:color w:val="8A2D25"/>
          <w:sz w:val="18"/>
        </w:rPr>
        <w:t>one reference image is required</w:t>
      </w: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：模型仅支持图生视频，必须上传图片并确保其公网可访问。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i w:val="0"/>
          <w:color w:val="8A2D25"/>
          <w:sz w:val="18"/>
        </w:rPr>
        <w:t>duration ... type int</w:t>
      </w: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：时长必须传数字，不是字符串。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i w:val="0"/>
          <w:color w:val="8A2D25"/>
          <w:sz w:val="18"/>
        </w:rPr>
        <w:t>pricing rule not matched</w:t>
      </w: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：当前渠道未配置该模型/时长/分辨率价格档，改用已开通规格。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一直在智能体分析：Codex/Claude 首次运行可能较慢；超时后系统会切换本地商家模板继续。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视频无声音：只有明确支持音频的模型才保证声音；界面会标记“有声”。</w:t>
      </w:r>
    </w:p>
    <w:p>
      <w:pPr>
        <w:pStyle w:val="Heading1"/>
      </w:pPr>
      <w:r>
        <w:t>7. 安全与合规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不要在截图、群聊或文档中公开 API Key。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商品功效、医疗、美白、抗衰等表述必须有真实材料支撑。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i w:val="0"/>
          <w:color w:val="20292F"/>
          <w:sz w:val="20"/>
        </w:rPr>
        <w:t>视频 URL 可能有有效期，生成成功后请及时下载归档。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81" w:bottom="936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iragino Sans GB" w:hAnsi="Hiragino Sans GB" w:eastAsia="Hiragino Sans GB"/>
        <w:b w:val="0"/>
        <w:i w:val="0"/>
        <w:color w:val="68727A"/>
        <w:sz w:val="18"/>
      </w:rPr>
      <w:t xml:space="preserve">第 </w:t>
    </w:r>
    <w:fldSimple w:instr="PAGE"/>
    <w:r>
      <w:rPr>
        <w:rFonts w:ascii="Hiragino Sans GB" w:hAnsi="Hiragino Sans GB" w:eastAsia="Hiragino Sans GB"/>
        <w:b w:val="0"/>
        <w:i w:val="0"/>
        <w:color w:val="68727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Hiragino Sans GB" w:hAnsi="Hiragino Sans GB" w:eastAsia="Hiragino Sans GB"/>
        <w:b/>
        <w:i w:val="0"/>
        <w:color w:val="68727A"/>
        <w:sz w:val="17"/>
      </w:rPr>
      <w:t>UGC FLOW  ·  发布资料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Hiragino Sans GB" w:hAnsi="Hiragino Sans GB" w:eastAsia="Hiragino Sans GB"/>
      <w:color w:val="20292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D9423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D9423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0292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7" w:hanging="274"/>
      <w:contextualSpacing/>
    </w:pPr>
    <w:rPr>
      <w:rFonts w:ascii="Hiragino Sans GB" w:hAnsi="Hiragino Sans GB" w:eastAsia="Hiragino Sans GB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7" w:hanging="274"/>
      <w:contextualSpacing/>
    </w:pPr>
    <w:rPr>
      <w:rFonts w:ascii="Hiragino Sans GB" w:hAnsi="Hiragino Sans GB" w:eastAsia="Hiragino Sans GB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