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b/>
          <w:bCs/>
          <w:color w:val="595959"/>
          <w:sz w:val="26"/>
          <w:szCs w:val="26"/>
        </w:rPr>
        <w:t xml:space="preserve">Authentication Security Study Series</w:t>
      </w:r>
    </w:p>
    <w:p>
      <w:pPr>
        <w:pBdr>
          <w:bottom w:val="single" w:color="2E75B6" w:sz="6" w:space="8"/>
        </w:pBdr>
        <w:spacing w:after="0" w:before="80"/>
        <w:jc w:val="center"/>
      </w:pPr>
      <w:r>
        <w:rPr>
          <w:sz w:val="8"/>
          <w:szCs w:val="8"/>
        </w:rPr>
        <w:t xml:space="preserve"/>
      </w:r>
    </w:p>
    <w:p>
      <w:pPr>
        <w:spacing w:after="0" w:before="360"/>
        <w:jc w:val="center"/>
      </w:pPr>
      <w:r>
        <w:rPr>
          <w:b/>
          <w:bCs/>
          <w:color w:val="1F3864"/>
          <w:sz w:val="60"/>
          <w:szCs w:val="60"/>
        </w:rPr>
        <w:t xml:space="preserve">SYSTEM 4</w:t>
      </w:r>
    </w:p>
    <w:p>
      <w:pPr>
        <w:spacing w:after="0" w:before="120"/>
        <w:jc w:val="center"/>
      </w:pPr>
      <w:r>
        <w:rPr>
          <w:b/>
          <w:bCs/>
          <w:color w:val="2E75B6"/>
          <w:sz w:val="40"/>
          <w:szCs w:val="40"/>
        </w:rPr>
        <w:t xml:space="preserve">OAuth 2.0 &amp; OpenID Connect</w:t>
      </w:r>
    </w:p>
    <w:p>
      <w:pPr>
        <w:spacing w:after="0" w:before="80"/>
        <w:jc w:val="center"/>
      </w:pPr>
      <w:r>
        <w:rPr>
          <w:i/>
          <w:iCs/>
          <w:color w:val="595959"/>
          <w:sz w:val="24"/>
          <w:szCs w:val="24"/>
        </w:rPr>
        <w:t xml:space="preserve">Delegated Authorization: Vulnerabilities, Live Attacks, and Remediation</w:t>
      </w:r>
    </w:p>
    <w:p>
      <w:pPr>
        <w:spacing w:after="0" w:before="720"/>
        <w:jc w:val="center"/>
      </w:pPr>
      <w:r>
        <w:rPr>
          <w:color w:val="595959"/>
          <w:sz w:val="20"/>
          <w:szCs w:val="20"/>
        </w:rPr>
        <w:t xml:space="preserve">Methodology: vulnerable implementation → live attacks → hardened remediation</w:t>
      </w:r>
    </w:p>
    <w:p>
      <w:pPr>
        <w:spacing w:after="0" w:before="1400"/>
        <w:jc w:val="center"/>
      </w:pPr>
      <w:r>
        <w:rPr>
          <w:color w:val="595959"/>
          <w:sz w:val="18"/>
          <w:szCs w:val="18"/>
        </w:rPr>
        <w:t xml:space="preserve">Standards basis: RFC 6749 · RFC 6750 · RFC 7636 · RFC 9700 (Jan 2025) · OpenID Connect Core 1.0</w:t>
      </w:r>
    </w:p>
    <w:p>
      <w:pPr>
        <w:spacing w:after="0" w:before="80"/>
        <w:jc w:val="center"/>
      </w:pPr>
      <w:r>
        <w:rPr>
          <w:i/>
          <w:iCs/>
          <w:color w:val="595959"/>
          <w:sz w:val="18"/>
          <w:szCs w:val="18"/>
        </w:rPr>
        <w:t xml:space="preserve">All attacks and mitigations in this report were executed and verified in a live three-server lab.</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Standards and Scope</w:t>
      </w:r>
    </w:p>
    <w:p>
      <w:pPr>
        <w:spacing w:after="120"/>
      </w:pPr>
      <w:r>
        <w:t xml:space="preserve">OAuth 2.0 is a delegated </w:t>
      </w:r>
      <w:r>
        <w:rPr>
          <w:b/>
          <w:bCs/>
        </w:rPr>
        <w:t xml:space="preserve">authorization</w:t>
      </w:r>
      <w:r>
        <w:t xml:space="preserve"> framework: it lets a client application obtain limited access to a resource on a user's behalf without handling the user's credentials. OpenID Connect (OIDC) layers </w:t>
      </w:r>
      <w:r>
        <w:rPr>
          <w:b/>
          <w:bCs/>
        </w:rPr>
        <w:t xml:space="preserve">authentication</w:t>
      </w:r>
      <w:r>
        <w:t xml:space="preserve"> on top, returning a signed id_token that asserts who the user is. System 4 builds a minimal but complete instance of both — an Authorization Server, a client, and a resource server — then attacks and hardens it.</w:t>
      </w:r>
    </w:p>
    <w:p>
      <w:pPr>
        <w:pStyle w:val="Heading2"/>
      </w:pPr>
      <w:r>
        <w:t xml:space="preserve">1.1 Governing specifications</w:t>
      </w:r>
    </w:p>
    <w:p>
      <w:pPr>
        <w:pStyle w:val="ListParagraph"/>
        <w:numPr>
          <w:ilvl w:val="0"/>
          <w:numId w:val="2"/>
        </w:numPr>
        <w:spacing w:after="60"/>
      </w:pPr>
      <w:r>
        <w:rPr>
          <w:b/>
          <w:bCs/>
        </w:rPr>
        <w:t xml:space="preserve">RFC 6749</w:t>
      </w:r>
      <w:r>
        <w:t xml:space="preserve"> (2012) — the OAuth 2.0 Authorization Framework core, plus </w:t>
      </w:r>
      <w:r>
        <w:rPr>
          <w:b/>
          <w:bCs/>
        </w:rPr>
        <w:t xml:space="preserve">RFC 6750</w:t>
      </w:r>
      <w:r>
        <w:t xml:space="preserve"> for bearer-token usage.</w:t>
      </w:r>
    </w:p>
    <w:p>
      <w:pPr>
        <w:pStyle w:val="ListParagraph"/>
        <w:numPr>
          <w:ilvl w:val="0"/>
          <w:numId w:val="2"/>
        </w:numPr>
        <w:spacing w:after="60"/>
      </w:pPr>
      <w:r>
        <w:rPr>
          <w:b/>
          <w:bCs/>
        </w:rPr>
        <w:t xml:space="preserve">RFC 7636</w:t>
      </w:r>
      <w:r>
        <w:t xml:space="preserve"> — Proof Key for Code Exchange (PKCE).</w:t>
      </w:r>
    </w:p>
    <w:p>
      <w:pPr>
        <w:pStyle w:val="ListParagraph"/>
        <w:numPr>
          <w:ilvl w:val="0"/>
          <w:numId w:val="2"/>
        </w:numPr>
        <w:spacing w:after="60"/>
      </w:pPr>
      <w:r>
        <w:rPr>
          <w:b/>
          <w:bCs/>
        </w:rPr>
        <w:t xml:space="preserve">RFC 9700</w:t>
      </w:r>
      <w:r>
        <w:t xml:space="preserve"> (January 2025) — Best Current Practice for OAuth 2.0 Security. This document updates the threat models of RFCs 6749/6750/6819, mandates exact-match redirect URIs and PKCE, and deprecates the implicit grant and the resource-owner password credentials grant. It is the remediation reference for the hardened build.</w:t>
      </w:r>
    </w:p>
    <w:p>
      <w:pPr>
        <w:pStyle w:val="ListParagraph"/>
        <w:numPr>
          <w:ilvl w:val="0"/>
          <w:numId w:val="2"/>
        </w:numPr>
        <w:spacing w:after="60"/>
      </w:pPr>
      <w:r>
        <w:rPr>
          <w:b/>
          <w:bCs/>
        </w:rPr>
        <w:t xml:space="preserve">OpenID Connect Core 1.0</w:t>
      </w:r>
      <w:r>
        <w:t xml:space="preserve"> — an OpenID Foundation specification (not an IETF RFC), defining the id_token and its required validation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75B6" w:sz="18"/>
              <w:bottom w:val="none"/>
              <w:right w:val="none"/>
            </w:tcBorders>
            <w:shd w:fill="D5E8F0" w:val="clear"/>
            <w:tcMar>
              <w:top w:type="dxa" w:w="100"/>
              <w:left w:type="dxa" w:w="160"/>
              <w:bottom w:type="dxa" w:w="100"/>
              <w:right w:type="dxa" w:w="140"/>
            </w:tcMar>
          </w:tcPr>
          <w:p>
            <w:pPr>
              <w:spacing w:after="40"/>
            </w:pPr>
            <w:r>
              <w:rPr>
                <w:b/>
                <w:bCs/>
                <w:sz w:val="19"/>
                <w:szCs w:val="19"/>
              </w:rPr>
              <w:t xml:space="preserve">Standards status note</w:t>
            </w:r>
          </w:p>
          <w:p>
            <w:pPr>
              <w:spacing w:after="0"/>
            </w:pPr>
            <w:r>
              <w:t xml:space="preserve">OAuth 2.1 (draft-ietf-oauth-v2-1, revision 15 as of March 2026) consolidates RFC 6749, RFC 9700, and PKCE into a single document, but it remains an IETF working draft and is not yet a published standard. This report treats it as forward guidance, not as a citable standard.</w:t>
            </w:r>
          </w:p>
        </w:tc>
      </w:tr>
    </w:tbl>
    <w:p>
      <w:pPr>
        <w:pStyle w:val="Heading2"/>
      </w:pPr>
      <w:r>
        <w:t xml:space="preserve">1.2 Scope boundary with System 5</w:t>
      </w:r>
    </w:p>
    <w:p>
      <w:pPr>
        <w:spacing w:after="120"/>
      </w:pPr>
      <w:r>
        <w:t xml:space="preserve">OIDC id_tokens are JSON Web Tokens, which overlap with System 5 (JWT authentication). To avoid duplication, System 4 treats the id_token at the </w:t>
      </w:r>
      <w:r>
        <w:rPr>
          <w:b/>
          <w:bCs/>
        </w:rPr>
        <w:t xml:space="preserve">validation-policy</w:t>
      </w:r>
      <w:r>
        <w:t xml:space="preserve"> level: whether the client checks the signature, pins the algorithm, and validates issuer, audience, and nonce. The deeper JWT cryptographic attack surface — algorithm-confusion (RS256→HS256 key confusion), weak-secret brute force, and JWKS handling — is deferred to System 5. The id_token here is the </w:t>
      </w:r>
      <w:r>
        <w:rPr>
          <w:b/>
          <w:bCs/>
        </w:rPr>
        <w:t xml:space="preserve">bridge</w:t>
      </w:r>
      <w:r>
        <w:t xml:space="preserve"> into that system, demonstrated in Vulnerability 5.</w:t>
      </w:r>
    </w:p>
    <w:p>
      <w:pPr>
        <w:pStyle w:val="Heading1"/>
      </w:pPr>
      <w:r>
        <w:t xml:space="preserve">2. Lab Architecture</w:t>
      </w:r>
    </w:p>
    <w:p>
      <w:pPr>
        <w:spacing w:after="120"/>
      </w:pPr>
      <w:r>
        <w:t xml:space="preserve">The lab runs three cooperating services plus a from-scratch primitive engine. Two client applications are registered at the Authorization Server to exercise both confidential- and public-client attack surfaces.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860"/>
        <w:gridCol w:w="1500"/>
      </w:tblGrid>
      <w:tr>
        <w:trPr>
          <w:tblHeader/>
        </w:trPr>
        <w:tc>
          <w:tcPr>
            <w:tcW w:type="dxa" w:w="3000"/>
            <w:shd w:fill="1F3864" w:val="clear"/>
            <w:tcMar>
              <w:top w:type="dxa" w:w="80"/>
              <w:left w:type="dxa" w:w="120"/>
              <w:bottom w:type="dxa" w:w="80"/>
              <w:right w:type="dxa" w:w="120"/>
            </w:tcMar>
          </w:tcPr>
          <w:p>
            <w:r>
              <w:rPr>
                <w:b/>
                <w:bCs/>
                <w:color w:val="FFFFFF"/>
                <w:sz w:val="19"/>
                <w:szCs w:val="19"/>
              </w:rPr>
              <w:t xml:space="preserve">Component</w:t>
            </w:r>
          </w:p>
        </w:tc>
        <w:tc>
          <w:tcPr>
            <w:tcW w:type="dxa" w:w="4860"/>
            <w:shd w:fill="1F3864" w:val="clear"/>
            <w:tcMar>
              <w:top w:type="dxa" w:w="80"/>
              <w:left w:type="dxa" w:w="120"/>
              <w:bottom w:type="dxa" w:w="80"/>
              <w:right w:type="dxa" w:w="120"/>
            </w:tcMar>
          </w:tcPr>
          <w:p>
            <w:r>
              <w:rPr>
                <w:b/>
                <w:bCs/>
                <w:color w:val="FFFFFF"/>
                <w:sz w:val="19"/>
                <w:szCs w:val="19"/>
              </w:rPr>
              <w:t xml:space="preserve">Role</w:t>
            </w:r>
          </w:p>
        </w:tc>
        <w:tc>
          <w:tcPr>
            <w:tcW w:type="dxa" w:w="1500"/>
            <w:shd w:fill="1F3864" w:val="clear"/>
            <w:tcMar>
              <w:top w:type="dxa" w:w="80"/>
              <w:left w:type="dxa" w:w="120"/>
              <w:bottom w:type="dxa" w:w="80"/>
              <w:right w:type="dxa" w:w="120"/>
            </w:tcMar>
          </w:tcPr>
          <w:p>
            <w:r>
              <w:rPr>
                <w:b/>
                <w:bCs/>
                <w:color w:val="FFFFFF"/>
                <w:sz w:val="19"/>
                <w:szCs w:val="19"/>
              </w:rPr>
              <w:t xml:space="preserve">Port</w:t>
            </w:r>
          </w:p>
        </w:tc>
      </w:tr>
      <w:tr>
        <w:tc>
          <w:tcPr>
            <w:tcW w:type="dxa" w:w="3000"/>
            <w:tcBorders>
              <w:top w:val="single" w:color="CCCCCC" w:sz="1"/>
              <w:left w:val="single" w:color="CCCCCC" w:sz="1"/>
              <w:bottom w:val="single" w:color="CCCCCC" w:sz="1"/>
              <w:right w:val="single" w:color="CCCCCC" w:sz="1"/>
            </w:tcBorders>
            <w:shd w:fill="F2F6FB" w:val="clear"/>
            <w:tcMar>
              <w:top w:type="dxa" w:w="70"/>
              <w:left w:type="dxa" w:w="120"/>
              <w:bottom w:type="dxa" w:w="70"/>
              <w:right w:type="dxa" w:w="120"/>
            </w:tcMar>
          </w:tcPr>
          <w:p>
            <w:r>
              <w:t xml:space="preserve">oauth_engine.py</w:t>
            </w:r>
          </w:p>
        </w:tc>
        <w:tc>
          <w:tcPr>
            <w:tcW w:type="dxa" w:w="4860"/>
            <w:tcBorders>
              <w:top w:val="single" w:color="CCCCCC" w:sz="1"/>
              <w:left w:val="single" w:color="CCCCCC" w:sz="1"/>
              <w:bottom w:val="single" w:color="CCCCCC" w:sz="1"/>
              <w:right w:val="single" w:color="CCCCCC" w:sz="1"/>
            </w:tcBorders>
            <w:shd w:fill="F2F6FB" w:val="clear"/>
            <w:tcMar>
              <w:top w:type="dxa" w:w="70"/>
              <w:left w:type="dxa" w:w="120"/>
              <w:bottom w:type="dxa" w:w="70"/>
              <w:right w:type="dxa" w:w="120"/>
            </w:tcMar>
          </w:tcPr>
          <w:p>
            <w:r>
              <w:t xml:space="preserve">From-scratch primitives: code/token generation, PKCE (RFC 7636), hand-built JWT encode/verify, id_token construction</w:t>
            </w:r>
          </w:p>
        </w:tc>
        <w:tc>
          <w:tcPr>
            <w:tcW w:type="dxa" w:w="1500"/>
            <w:tcBorders>
              <w:top w:val="single" w:color="CCCCCC" w:sz="1"/>
              <w:left w:val="single" w:color="CCCCCC" w:sz="1"/>
              <w:bottom w:val="single" w:color="CCCCCC" w:sz="1"/>
              <w:right w:val="single" w:color="CCCCCC" w:sz="1"/>
            </w:tcBorders>
            <w:shd w:fill="F2F6FB" w:val="clear"/>
            <w:tcMar>
              <w:top w:type="dxa" w:w="70"/>
              <w:left w:type="dxa" w:w="120"/>
              <w:bottom w:type="dxa" w:w="70"/>
              <w:right w:type="dxa" w:w="120"/>
            </w:tcMar>
          </w:tcPr>
          <w:p>
            <w:r>
              <w:t xml:space="preserve">library</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t xml:space="preserve">Authorization Server</w:t>
            </w:r>
          </w:p>
        </w:tc>
        <w:tc>
          <w:tcPr>
            <w:tcW w:type="dxa" w:w="4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t xml:space="preserve">Issues authorization codes and tokens; hosts /authorize, /token, login and consent</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t xml:space="preserve">5000</w:t>
            </w:r>
          </w:p>
        </w:tc>
      </w:tr>
      <w:tr>
        <w:tc>
          <w:tcPr>
            <w:tcW w:type="dxa" w:w="3000"/>
            <w:tcBorders>
              <w:top w:val="single" w:color="CCCCCC" w:sz="1"/>
              <w:left w:val="single" w:color="CCCCCC" w:sz="1"/>
              <w:bottom w:val="single" w:color="CCCCCC" w:sz="1"/>
              <w:right w:val="single" w:color="CCCCCC" w:sz="1"/>
            </w:tcBorders>
            <w:shd w:fill="F2F6FB" w:val="clear"/>
            <w:tcMar>
              <w:top w:type="dxa" w:w="70"/>
              <w:left w:type="dxa" w:w="120"/>
              <w:bottom w:type="dxa" w:w="70"/>
              <w:right w:type="dxa" w:w="120"/>
            </w:tcMar>
          </w:tcPr>
          <w:p>
            <w:r>
              <w:t xml:space="preserve">Client application</w:t>
            </w:r>
          </w:p>
        </w:tc>
        <w:tc>
          <w:tcPr>
            <w:tcW w:type="dxa" w:w="4860"/>
            <w:tcBorders>
              <w:top w:val="single" w:color="CCCCCC" w:sz="1"/>
              <w:left w:val="single" w:color="CCCCCC" w:sz="1"/>
              <w:bottom w:val="single" w:color="CCCCCC" w:sz="1"/>
              <w:right w:val="single" w:color="CCCCCC" w:sz="1"/>
            </w:tcBorders>
            <w:shd w:fill="F2F6FB" w:val="clear"/>
            <w:tcMar>
              <w:top w:type="dxa" w:w="70"/>
              <w:left w:type="dxa" w:w="120"/>
              <w:bottom w:type="dxa" w:w="70"/>
              <w:right w:type="dxa" w:w="120"/>
            </w:tcMar>
          </w:tcPr>
          <w:p>
            <w:r>
              <w:t xml:space="preserve">Relying party; runs the redirect flow and consumes the id_token</w:t>
            </w:r>
          </w:p>
        </w:tc>
        <w:tc>
          <w:tcPr>
            <w:tcW w:type="dxa" w:w="1500"/>
            <w:tcBorders>
              <w:top w:val="single" w:color="CCCCCC" w:sz="1"/>
              <w:left w:val="single" w:color="CCCCCC" w:sz="1"/>
              <w:bottom w:val="single" w:color="CCCCCC" w:sz="1"/>
              <w:right w:val="single" w:color="CCCCCC" w:sz="1"/>
            </w:tcBorders>
            <w:shd w:fill="F2F6FB" w:val="clear"/>
            <w:tcMar>
              <w:top w:type="dxa" w:w="70"/>
              <w:left w:type="dxa" w:w="120"/>
              <w:bottom w:type="dxa" w:w="70"/>
              <w:right w:type="dxa" w:w="120"/>
            </w:tcMar>
          </w:tcPr>
          <w:p>
            <w:r>
              <w:t xml:space="preserve">5001</w:t>
            </w:r>
          </w:p>
        </w:tc>
      </w:tr>
      <w:tr>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t xml:space="preserve">Resource server</w:t>
            </w:r>
          </w:p>
        </w:tc>
        <w:tc>
          <w:tcPr>
            <w:tcW w:type="dxa" w:w="48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t xml:space="preserve">Protects /api/profile behind a bearer access token</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t xml:space="preserve">5002</w:t>
            </w:r>
          </w:p>
        </w:tc>
      </w:tr>
    </w:tbl>
    <w:p>
      <w:pPr>
        <w:spacing w:after="60"/>
      </w:pPr>
      <w:r>
        <w:t xml:space="preserve"/>
      </w:r>
    </w:p>
    <w:p>
      <w:pPr>
        <w:pStyle w:val="Heading2"/>
      </w:pPr>
      <w:r>
        <w:t xml:space="preserve">2.1 Registered clients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2960"/>
        <w:gridCol w:w="2500"/>
      </w:tblGrid>
      <w:tr>
        <w:trPr>
          <w:tblHeader/>
        </w:trPr>
        <w:tc>
          <w:tcPr>
            <w:tcW w:type="dxa" w:w="2000"/>
            <w:shd w:fill="1F3864" w:val="clear"/>
            <w:tcMar>
              <w:top w:type="dxa" w:w="80"/>
              <w:left w:type="dxa" w:w="120"/>
              <w:bottom w:type="dxa" w:w="80"/>
              <w:right w:type="dxa" w:w="120"/>
            </w:tcMar>
          </w:tcPr>
          <w:p>
            <w:r>
              <w:rPr>
                <w:b/>
                <w:bCs/>
                <w:color w:val="FFFFFF"/>
                <w:sz w:val="19"/>
                <w:szCs w:val="19"/>
              </w:rPr>
              <w:t xml:space="preserve">client_id</w:t>
            </w:r>
          </w:p>
        </w:tc>
        <w:tc>
          <w:tcPr>
            <w:tcW w:type="dxa" w:w="1900"/>
            <w:shd w:fill="1F3864" w:val="clear"/>
            <w:tcMar>
              <w:top w:type="dxa" w:w="80"/>
              <w:left w:type="dxa" w:w="120"/>
              <w:bottom w:type="dxa" w:w="80"/>
              <w:right w:type="dxa" w:w="120"/>
            </w:tcMar>
          </w:tcPr>
          <w:p>
            <w:r>
              <w:rPr>
                <w:b/>
                <w:bCs/>
                <w:color w:val="FFFFFF"/>
                <w:sz w:val="19"/>
                <w:szCs w:val="19"/>
              </w:rPr>
              <w:t xml:space="preserve">Type</w:t>
            </w:r>
          </w:p>
        </w:tc>
        <w:tc>
          <w:tcPr>
            <w:tcW w:type="dxa" w:w="2960"/>
            <w:shd w:fill="1F3864" w:val="clear"/>
            <w:tcMar>
              <w:top w:type="dxa" w:w="80"/>
              <w:left w:type="dxa" w:w="120"/>
              <w:bottom w:type="dxa" w:w="80"/>
              <w:right w:type="dxa" w:w="120"/>
            </w:tcMar>
          </w:tcPr>
          <w:p>
            <w:r>
              <w:rPr>
                <w:b/>
                <w:bCs/>
                <w:color w:val="FFFFFF"/>
                <w:sz w:val="19"/>
                <w:szCs w:val="19"/>
              </w:rPr>
              <w:t xml:space="preserve">Secret</w:t>
            </w:r>
          </w:p>
        </w:tc>
        <w:tc>
          <w:tcPr>
            <w:tcW w:type="dxa" w:w="2500"/>
            <w:shd w:fill="1F3864" w:val="clear"/>
            <w:tcMar>
              <w:top w:type="dxa" w:w="80"/>
              <w:left w:type="dxa" w:w="120"/>
              <w:bottom w:type="dxa" w:w="80"/>
              <w:right w:type="dxa" w:w="120"/>
            </w:tcMar>
          </w:tcPr>
          <w:p>
            <w:r>
              <w:rPr>
                <w:b/>
                <w:bCs/>
                <w:color w:val="FFFFFF"/>
                <w:sz w:val="19"/>
                <w:szCs w:val="19"/>
              </w:rPr>
              <w:t xml:space="preserve">Used by</w:t>
            </w:r>
          </w:p>
        </w:tc>
      </w:tr>
      <w:tr>
        <w:tc>
          <w:tcPr>
            <w:tcW w:type="dxa" w:w="2000"/>
            <w:tcBorders>
              <w:top w:val="single" w:color="CCCCCC" w:sz="1"/>
              <w:left w:val="single" w:color="CCCCCC" w:sz="1"/>
              <w:bottom w:val="single" w:color="CCCCCC" w:sz="1"/>
              <w:right w:val="single" w:color="CCCCCC" w:sz="1"/>
            </w:tcBorders>
            <w:shd w:fill="F2F6FB" w:val="clear"/>
            <w:tcMar>
              <w:top w:type="dxa" w:w="70"/>
              <w:left w:type="dxa" w:w="120"/>
              <w:bottom w:type="dxa" w:w="70"/>
              <w:right w:type="dxa" w:w="120"/>
            </w:tcMar>
          </w:tcPr>
          <w:p>
            <w:r>
              <w:t xml:space="preserve">webapp</w:t>
            </w:r>
          </w:p>
        </w:tc>
        <w:tc>
          <w:tcPr>
            <w:tcW w:type="dxa" w:w="1900"/>
            <w:tcBorders>
              <w:top w:val="single" w:color="CCCCCC" w:sz="1"/>
              <w:left w:val="single" w:color="CCCCCC" w:sz="1"/>
              <w:bottom w:val="single" w:color="CCCCCC" w:sz="1"/>
              <w:right w:val="single" w:color="CCCCCC" w:sz="1"/>
            </w:tcBorders>
            <w:shd w:fill="F2F6FB" w:val="clear"/>
            <w:tcMar>
              <w:top w:type="dxa" w:w="70"/>
              <w:left w:type="dxa" w:w="120"/>
              <w:bottom w:type="dxa" w:w="70"/>
              <w:right w:type="dxa" w:w="120"/>
            </w:tcMar>
          </w:tcPr>
          <w:p>
            <w:r>
              <w:t xml:space="preserve">Confidential</w:t>
            </w:r>
          </w:p>
        </w:tc>
        <w:tc>
          <w:tcPr>
            <w:tcW w:type="dxa" w:w="2960"/>
            <w:tcBorders>
              <w:top w:val="single" w:color="CCCCCC" w:sz="1"/>
              <w:left w:val="single" w:color="CCCCCC" w:sz="1"/>
              <w:bottom w:val="single" w:color="CCCCCC" w:sz="1"/>
              <w:right w:val="single" w:color="CCCCCC" w:sz="1"/>
            </w:tcBorders>
            <w:shd w:fill="F2F6FB" w:val="clear"/>
            <w:tcMar>
              <w:top w:type="dxa" w:w="70"/>
              <w:left w:type="dxa" w:w="120"/>
              <w:bottom w:type="dxa" w:w="70"/>
              <w:right w:type="dxa" w:w="120"/>
            </w:tcMar>
          </w:tcPr>
          <w:p>
            <w:r>
              <w:t xml:space="preserve">Yes (HS256 id_token key)</w:t>
            </w:r>
          </w:p>
        </w:tc>
        <w:tc>
          <w:tcPr>
            <w:tcW w:type="dxa" w:w="2500"/>
            <w:tcBorders>
              <w:top w:val="single" w:color="CCCCCC" w:sz="1"/>
              <w:left w:val="single" w:color="CCCCCC" w:sz="1"/>
              <w:bottom w:val="single" w:color="CCCCCC" w:sz="1"/>
              <w:right w:val="single" w:color="CCCCCC" w:sz="1"/>
            </w:tcBorders>
            <w:shd w:fill="F2F6FB" w:val="clear"/>
            <w:tcMar>
              <w:top w:type="dxa" w:w="70"/>
              <w:left w:type="dxa" w:w="120"/>
              <w:bottom w:type="dxa" w:w="70"/>
              <w:right w:type="dxa" w:w="120"/>
            </w:tcMar>
          </w:tcPr>
          <w:p>
            <w:r>
              <w:t xml:space="preserve">Vulns 2, 4, 5 (CSRF, replay, id_token)</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t xml:space="preserve">spa</w:t>
            </w:r>
          </w:p>
        </w:tc>
        <w:tc>
          <w:tcPr>
            <w:tcW w:type="dxa" w:w="19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t xml:space="preserve">Public</w:t>
            </w:r>
          </w:p>
        </w:tc>
        <w:tc>
          <w:tcPr>
            <w:tcW w:type="dxa" w:w="29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t xml:space="preserve">None</w:t>
            </w:r>
          </w:p>
        </w:tc>
        <w:tc>
          <w:tcPr>
            <w:tcW w:type="dxa" w:w="2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t xml:space="preserve">Vulns 1, 3 (redirect_uri, PKCE)</w:t>
            </w:r>
          </w:p>
        </w:tc>
      </w:tr>
    </w:tbl>
    <w:p>
      <w:pPr>
        <w:spacing w:after="60"/>
      </w:pPr>
      <w:r>
        <w:t xml:space="preserve"/>
      </w:r>
    </w:p>
    <w:p>
      <w:pPr>
        <w:spacing w:after="120"/>
      </w:pPr>
      <w:r>
        <w:t xml:space="preserve">The public client matters because it has no client secret to fall back on: for it, the redirect URI and PKCE are the only things protecting the authorization code. That is precisely where Vulnerabilities 1 and 3 bite hardest.</w:t>
      </w:r>
    </w:p>
    <w:p>
      <w:pPr>
        <w:pStyle w:val="Heading2"/>
      </w:pPr>
      <w:r>
        <w:t xml:space="preserve">2.2 Methodology</w:t>
      </w:r>
    </w:p>
    <w:p>
      <w:pPr>
        <w:spacing w:after="120"/>
      </w:pPr>
      <w:r>
        <w:t xml:space="preserve">Each vulnerability below follows the series methodology. A flaw is introduced in the vulnerable server (tagged in source with a VULN: comment), an attack script executes it against the running lab, and a hardened server implements the RFC 9700 control while a re-run of the same attack confirms the fix. The legitimate login flow was verified to still succeed against the hardened stack, ensuring the fixes harden rather than merely break the system.</w:t>
      </w:r>
    </w:p>
    <w:p>
      <w:pPr>
        <w:pStyle w:val="Heading1"/>
      </w:pPr>
      <w:r>
        <w:t xml:space="preserve">3. Vulnerability Analysis</w:t>
      </w:r>
    </w:p>
    <w:p>
      <w:pPr>
        <w:spacing w:after="120"/>
      </w:pPr>
      <w:r>
        <w:t xml:space="preserve">Five vulnerabilities are analysed. Each was executed live; the result callouts below quote the actual script output.</w:t>
      </w:r>
    </w:p>
    <w:p>
      <w:pPr>
        <w:pStyle w:val="Heading2"/>
      </w:pPr>
      <w:r>
        <w:t xml:space="preserve">3.1 Vulnerability 1: Redirect URI Manipulation</w:t>
      </w:r>
    </w:p>
    <w:p>
      <w:pPr>
        <w:spacing w:after="120"/>
      </w:pPr>
      <w:r>
        <w:rPr>
          <w:b/>
          <w:bCs/>
        </w:rPr>
        <w:t xml:space="preserve">Severity: </w:t>
      </w:r>
      <w:r>
        <w:t xml:space="preserve">Critical    </w:t>
      </w:r>
      <w:r>
        <w:rPr>
          <w:b/>
          <w:bCs/>
        </w:rPr>
        <w:t xml:space="preserve">Reference: </w:t>
      </w:r>
      <w:r>
        <w:t xml:space="preserve">RFC 9700 §2.1, §4.1</w:t>
      </w:r>
    </w:p>
    <w:p>
      <w:pPr>
        <w:pStyle w:val="Heading3"/>
      </w:pPr>
      <w:r>
        <w:t xml:space="preserve">Description</w:t>
      </w:r>
    </w:p>
    <w:p>
      <w:pPr>
        <w:spacing w:after="120"/>
      </w:pPr>
      <w:r>
        <w:t xml:space="preserve">The authorization endpoint accepts any redirect_uri supplied in the request without comparing it to the value registered for the client. An attacker can therefore have the authorization code delivered to a server they control.</w:t>
      </w:r>
    </w:p>
    <w:p>
      <w:pPr>
        <w:pStyle w:val="Heading3"/>
      </w:pPr>
      <w:r>
        <w:t xml:space="preserve">Root cause</w:t>
      </w:r>
    </w:p>
    <w:p>
      <w:pPr>
        <w:spacing w:after="120"/>
      </w:pPr>
      <w:r>
        <w:t xml:space="preserve">Missing redirect_uri validation. The vulnerable /authorize reads redirect_uri from the query string and uses it directly in the 302 response, with no comparison against the registered value.</w:t>
      </w:r>
    </w:p>
    <w:p>
      <w:pPr>
        <w:pStyle w:val="Heading3"/>
      </w:pPr>
      <w:r>
        <w:t xml:space="preserve">Attack</w:t>
      </w:r>
    </w:p>
    <w:p>
      <w:pPr>
        <w:spacing w:after="120"/>
      </w:pPr>
      <w:r>
        <w:t xml:space="preserve">The attack script performs: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pPr>
              <w:spacing w:after="0"/>
            </w:pPr>
            <w:r>
              <w:rPr>
                <w:rFonts w:ascii="Consolas" w:cs="Consolas" w:eastAsia="Consolas" w:hAnsi="Consolas"/>
                <w:sz w:val="17"/>
                <w:szCs w:val="17"/>
              </w:rPr>
              <w:t xml:space="preserve">victim 'alice' is authenticated to the AS</w:t>
            </w:r>
          </w:p>
          <w:p>
            <w:pPr>
              <w:spacing w:after="0"/>
            </w:pPr>
            <w:r>
              <w:rPr>
                <w:rFonts w:ascii="Consolas" w:cs="Consolas" w:eastAsia="Consolas" w:hAnsi="Consolas"/>
                <w:sz w:val="17"/>
                <w:szCs w:val="17"/>
              </w:rPr>
              <w:t xml:space="preserve">GET /authorize?client_id=spa&amp;redirect_uri=http://localhost:6666/harvest&amp;...</w:t>
            </w:r>
          </w:p>
          <w:p>
            <w:pPr>
              <w:spacing w:after="0"/>
            </w:pPr>
            <w:r>
              <w:rPr>
                <w:rFonts w:ascii="Consolas" w:cs="Consolas" w:eastAsia="Consolas" w:hAnsi="Consolas"/>
                <w:sz w:val="17"/>
                <w:szCs w:val="17"/>
              </w:rPr>
              <w:t xml:space="preserve">  → AS issues a code and redirects it to the attacker URL</w:t>
            </w:r>
          </w:p>
          <w:p>
            <w:pPr>
              <w:spacing w:after="0"/>
            </w:pPr>
            <w:r>
              <w:rPr>
                <w:rFonts w:ascii="Consolas" w:cs="Consolas" w:eastAsia="Consolas" w:hAnsi="Consolas"/>
                <w:sz w:val="17"/>
                <w:szCs w:val="17"/>
              </w:rPr>
              <w:t xml:space="preserve">attacker redeems the harvested code at /token (public client, no PKCE)</w:t>
            </w:r>
          </w:p>
          <w:p>
            <w:pPr>
              <w:spacing w:after="0"/>
            </w:pPr>
            <w:r>
              <w:rPr>
                <w:rFonts w:ascii="Consolas" w:cs="Consolas" w:eastAsia="Consolas" w:hAnsi="Consolas"/>
                <w:sz w:val="17"/>
                <w:szCs w:val="17"/>
              </w:rPr>
              <w:t xml:space="preserve">attacker spends the access token at the resource server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C00000" w:sz="18"/>
              <w:bottom w:val="none"/>
              <w:right w:val="none"/>
            </w:tcBorders>
            <w:shd w:fill="FCE4E4" w:val="clear"/>
            <w:tcMar>
              <w:top w:type="dxa" w:w="100"/>
              <w:left w:type="dxa" w:w="160"/>
              <w:bottom w:type="dxa" w:w="100"/>
              <w:right w:type="dxa" w:w="140"/>
            </w:tcMar>
          </w:tcPr>
          <w:p>
            <w:pPr>
              <w:spacing w:after="40"/>
            </w:pPr>
            <w:r>
              <w:rPr>
                <w:b/>
                <w:bCs/>
                <w:sz w:val="19"/>
                <w:szCs w:val="19"/>
              </w:rPr>
              <w:t xml:space="preserve">Result against vulnerable server</w:t>
            </w:r>
          </w:p>
          <w:p>
            <w:pPr>
              <w:spacing w:after="0"/>
            </w:pPr>
            <w:r>
              <w:t xml:space="preserve">STOLE alice's data via attacker redirect_uri: {'username': 'alice', 'email': 'alice@victim.com', 'note': 'SENSITIVE ACCOUNT DATA'}</w:t>
            </w:r>
          </w:p>
        </w:tc>
      </w:tr>
    </w:tbl>
    <w:p>
      <w:pPr>
        <w:pStyle w:val="Heading3"/>
      </w:pPr>
      <w:r>
        <w:t xml:space="preserve">Remediation</w:t>
      </w:r>
    </w:p>
    <w:p>
      <w:pPr>
        <w:spacing w:after="120"/>
      </w:pPr>
      <w:r>
        <w:t xml:space="preserve">RFC 9700 (sec 2.1 / 4.1) requires exact string matching of redirect_uri against registration, with the sole exception of port numbers on localhost redirects for native apps. The hardened /authorize rejects any non-identical redirect_uri and does not redirect on this error. The token endpoint additionally requires the presented redirect_uri to equal the one bound to the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548235" w:sz="18"/>
              <w:bottom w:val="none"/>
              <w:right w:val="none"/>
            </w:tcBorders>
            <w:shd w:fill="E2EFDA" w:val="clear"/>
            <w:tcMar>
              <w:top w:type="dxa" w:w="100"/>
              <w:left w:type="dxa" w:w="160"/>
              <w:bottom w:type="dxa" w:w="100"/>
              <w:right w:type="dxa" w:w="140"/>
            </w:tcMar>
          </w:tcPr>
          <w:p>
            <w:pPr>
              <w:spacing w:after="40"/>
            </w:pPr>
            <w:r>
              <w:rPr>
                <w:b/>
                <w:bCs/>
                <w:sz w:val="19"/>
                <w:szCs w:val="19"/>
              </w:rPr>
              <w:t xml:space="preserve">Result against hardened server</w:t>
            </w:r>
          </w:p>
          <w:p>
            <w:pPr>
              <w:spacing w:after="0"/>
            </w:pPr>
            <w:r>
              <w:t xml:space="preserve">AS refused hostile redirect_uri — no code issued.</w:t>
            </w:r>
          </w:p>
        </w:tc>
      </w:tr>
    </w:tbl>
    <w:p>
      <w:pPr>
        <w:spacing w:after="80"/>
      </w:pPr>
      <w:r>
        <w:t xml:space="preserve"/>
      </w:r>
    </w:p>
    <w:p>
      <w:pPr>
        <w:pStyle w:val="Heading2"/>
      </w:pPr>
      <w:r>
        <w:t xml:space="preserve">3.2 Vulnerability 2: Cross-Site Request Forgery / Authorization Code Injection</w:t>
      </w:r>
    </w:p>
    <w:p>
      <w:pPr>
        <w:spacing w:after="120"/>
      </w:pPr>
      <w:r>
        <w:rPr>
          <w:b/>
          <w:bCs/>
        </w:rPr>
        <w:t xml:space="preserve">Severity: </w:t>
      </w:r>
      <w:r>
        <w:t xml:space="preserve">High    </w:t>
      </w:r>
      <w:r>
        <w:rPr>
          <w:b/>
          <w:bCs/>
        </w:rPr>
        <w:t xml:space="preserve">Reference: </w:t>
      </w:r>
      <w:r>
        <w:t xml:space="preserve">RFC 6749 §10.12, RFC 9700 §4.7</w:t>
      </w:r>
    </w:p>
    <w:p>
      <w:pPr>
        <w:pStyle w:val="Heading3"/>
      </w:pPr>
      <w:r>
        <w:t xml:space="preserve">Description</w:t>
      </w:r>
    </w:p>
    <w:p>
      <w:pPr>
        <w:spacing w:after="120"/>
      </w:pPr>
      <w:r>
        <w:t xml:space="preserve">The client does not generate or check a state value, so an authorization response is not bound to the user-agent that started the flow. An attacker can inject their own authorization code into a victim's session (login CSRF), silently logging the victim into the attacker's account.</w:t>
      </w:r>
    </w:p>
    <w:p>
      <w:pPr>
        <w:pStyle w:val="Heading3"/>
      </w:pPr>
      <w:r>
        <w:t xml:space="preserve">Root cause</w:t>
      </w:r>
    </w:p>
    <w:p>
      <w:pPr>
        <w:spacing w:after="120"/>
      </w:pPr>
      <w:r>
        <w:t xml:space="preserve">Missing state parameter. The vulnerable client's /login omits state entirely, and its /callback exchanges whatever code arrives with nothing to compare against.</w:t>
      </w:r>
    </w:p>
    <w:p>
      <w:pPr>
        <w:pStyle w:val="Heading3"/>
      </w:pPr>
      <w:r>
        <w:t xml:space="preserve">Attack</w:t>
      </w:r>
    </w:p>
    <w:p>
      <w:pPr>
        <w:spacing w:after="120"/>
      </w:pPr>
      <w:r>
        <w:t xml:space="preserve">The attack script performs: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pPr>
              <w:spacing w:after="0"/>
            </w:pPr>
            <w:r>
              <w:rPr>
                <w:rFonts w:ascii="Consolas" w:cs="Consolas" w:eastAsia="Consolas" w:hAnsi="Consolas"/>
                <w:sz w:val="17"/>
                <w:szCs w:val="17"/>
              </w:rPr>
              <w:t xml:space="preserve">attacker 'mallory' logs into the AS and obtains a code bound to mallory</w:t>
            </w:r>
          </w:p>
          <w:p>
            <w:pPr>
              <w:spacing w:after="0"/>
            </w:pPr>
            <w:r>
              <w:rPr>
                <w:rFonts w:ascii="Consolas" w:cs="Consolas" w:eastAsia="Consolas" w:hAnsi="Consolas"/>
                <w:sz w:val="17"/>
                <w:szCs w:val="17"/>
              </w:rPr>
              <w:t xml:space="preserve">attacker does NOT redeem it</w:t>
            </w:r>
          </w:p>
          <w:p>
            <w:pPr>
              <w:spacing w:after="0"/>
            </w:pPr>
            <w:r>
              <w:rPr>
                <w:rFonts w:ascii="Consolas" w:cs="Consolas" w:eastAsia="Consolas" w:hAnsi="Consolas"/>
                <w:sz w:val="17"/>
                <w:szCs w:val="17"/>
              </w:rPr>
              <w:t xml:space="preserve">victim's browser is induced to GET /callback?code=&lt;mallory_code&gt;</w:t>
            </w:r>
          </w:p>
          <w:p>
            <w:pPr>
              <w:spacing w:after="0"/>
            </w:pPr>
            <w:r>
              <w:rPr>
                <w:rFonts w:ascii="Consolas" w:cs="Consolas" w:eastAsia="Consolas" w:hAnsi="Consolas"/>
                <w:sz w:val="17"/>
                <w:szCs w:val="17"/>
              </w:rPr>
              <w:t xml:space="preserve">client exchanges it and binds the victim's session to mallory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C00000" w:sz="18"/>
              <w:bottom w:val="none"/>
              <w:right w:val="none"/>
            </w:tcBorders>
            <w:shd w:fill="FCE4E4" w:val="clear"/>
            <w:tcMar>
              <w:top w:type="dxa" w:w="100"/>
              <w:left w:type="dxa" w:w="160"/>
              <w:bottom w:type="dxa" w:w="100"/>
              <w:right w:type="dxa" w:w="140"/>
            </w:tcMar>
          </w:tcPr>
          <w:p>
            <w:pPr>
              <w:spacing w:after="40"/>
            </w:pPr>
            <w:r>
              <w:rPr>
                <w:b/>
                <w:bCs/>
                <w:sz w:val="19"/>
                <w:szCs w:val="19"/>
              </w:rPr>
              <w:t xml:space="preserve">Result against vulnerable server</w:t>
            </w:r>
          </w:p>
          <w:p>
            <w:pPr>
              <w:spacing w:after="0"/>
            </w:pPr>
            <w:r>
              <w:t xml:space="preserve">victim session fixated to attacker identity: {'identity': 'mallory'}  — the victim is now logged in as the attacker; anything they save lands in the attacker's account.</w:t>
            </w:r>
          </w:p>
        </w:tc>
      </w:tr>
    </w:tbl>
    <w:p>
      <w:pPr>
        <w:pStyle w:val="Heading3"/>
      </w:pPr>
      <w:r>
        <w:t xml:space="preserve">Remediation</w:t>
      </w:r>
    </w:p>
    <w:p>
      <w:pPr>
        <w:spacing w:after="120"/>
      </w:pPr>
      <w:r>
        <w:t xml:space="preserve">RFC 6749 sec 10.12 and RFC 9700 sec 4.7 require an unguessable state value bound to the user-agent session and verified on return. The hardened client generates state, stores it server-side in the session, and rejects any callback whose state does not match.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548235" w:sz="18"/>
              <w:bottom w:val="none"/>
              <w:right w:val="none"/>
            </w:tcBorders>
            <w:shd w:fill="E2EFDA" w:val="clear"/>
            <w:tcMar>
              <w:top w:type="dxa" w:w="100"/>
              <w:left w:type="dxa" w:w="160"/>
              <w:bottom w:type="dxa" w:w="100"/>
              <w:right w:type="dxa" w:w="140"/>
            </w:tcMar>
          </w:tcPr>
          <w:p>
            <w:pPr>
              <w:spacing w:after="40"/>
            </w:pPr>
            <w:r>
              <w:rPr>
                <w:b/>
                <w:bCs/>
                <w:sz w:val="19"/>
                <w:szCs w:val="19"/>
              </w:rPr>
              <w:t xml:space="preserve">Result against hardened server</w:t>
            </w:r>
          </w:p>
          <w:p>
            <w:pPr>
              <w:spacing w:after="0"/>
            </w:pPr>
            <w:r>
              <w:t xml:space="preserve">client rejected injected code — identity remained unset (state mismatch).</w:t>
            </w:r>
          </w:p>
        </w:tc>
      </w:tr>
    </w:tbl>
    <w:p>
      <w:pPr>
        <w:spacing w:after="80"/>
      </w:pPr>
      <w:r>
        <w:t xml:space="preserve"/>
      </w:r>
    </w:p>
    <w:p>
      <w:pPr>
        <w:pStyle w:val="Heading2"/>
      </w:pPr>
      <w:r>
        <w:t xml:space="preserve">3.3 Vulnerability 3: Authorization Code Not Bound to Client (No PKCE)</w:t>
      </w:r>
    </w:p>
    <w:p>
      <w:pPr>
        <w:spacing w:after="120"/>
      </w:pPr>
      <w:r>
        <w:rPr>
          <w:b/>
          <w:bCs/>
        </w:rPr>
        <w:t xml:space="preserve">Severity: </w:t>
      </w:r>
      <w:r>
        <w:t xml:space="preserve">High    </w:t>
      </w:r>
      <w:r>
        <w:rPr>
          <w:b/>
          <w:bCs/>
        </w:rPr>
        <w:t xml:space="preserve">Reference: </w:t>
      </w:r>
      <w:r>
        <w:t xml:space="preserve">RFC 7636, RFC 9700 §2.1.1</w:t>
      </w:r>
    </w:p>
    <w:p>
      <w:pPr>
        <w:pStyle w:val="Heading3"/>
      </w:pPr>
      <w:r>
        <w:t xml:space="preserve">Description</w:t>
      </w:r>
    </w:p>
    <w:p>
      <w:pPr>
        <w:spacing w:after="120"/>
      </w:pPr>
      <w:r>
        <w:t xml:space="preserve">Without PKCE, an authorization code is not cryptographically bound to the client instance that requested it. If the code leaks through any channel, whoever holds it can redeem it.</w:t>
      </w:r>
    </w:p>
    <w:p>
      <w:pPr>
        <w:pStyle w:val="Heading3"/>
      </w:pPr>
      <w:r>
        <w:t xml:space="preserve">Root cause</w:t>
      </w:r>
    </w:p>
    <w:p>
      <w:pPr>
        <w:spacing w:after="120"/>
      </w:pPr>
      <w:r>
        <w:t xml:space="preserve">PKCE absent. The vulnerable /authorize neither requires nor stores a usable code_challenge, and /token never demands a code_verifier.</w:t>
      </w:r>
    </w:p>
    <w:p>
      <w:pPr>
        <w:pStyle w:val="Heading3"/>
      </w:pPr>
      <w:r>
        <w:t xml:space="preserve">Attack</w:t>
      </w:r>
    </w:p>
    <w:p>
      <w:pPr>
        <w:spacing w:after="120"/>
      </w:pPr>
      <w:r>
        <w:t xml:space="preserve">The attack script performs: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pPr>
              <w:spacing w:after="0"/>
            </w:pPr>
            <w:r>
              <w:rPr>
                <w:rFonts w:ascii="Consolas" w:cs="Consolas" w:eastAsia="Consolas" w:hAnsi="Consolas"/>
                <w:sz w:val="17"/>
                <w:szCs w:val="17"/>
              </w:rPr>
              <w:t xml:space="preserve">victim 'alice' completes a legitimate authorize to the registered redirect</w:t>
            </w:r>
          </w:p>
          <w:p>
            <w:pPr>
              <w:spacing w:after="0"/>
            </w:pPr>
            <w:r>
              <w:rPr>
                <w:rFonts w:ascii="Consolas" w:cs="Consolas" w:eastAsia="Consolas" w:hAnsi="Consolas"/>
                <w:sz w:val="17"/>
                <w:szCs w:val="17"/>
              </w:rPr>
              <w:t xml:space="preserve">the issued code leaks to the attacker (channel is orthogonal)</w:t>
            </w:r>
          </w:p>
          <w:p>
            <w:pPr>
              <w:spacing w:after="0"/>
            </w:pPr>
            <w:r>
              <w:rPr>
                <w:rFonts w:ascii="Consolas" w:cs="Consolas" w:eastAsia="Consolas" w:hAnsi="Consolas"/>
                <w:sz w:val="17"/>
                <w:szCs w:val="17"/>
              </w:rPr>
              <w:t xml:space="preserve">attacker POSTs /token with the code and NO code_verifier</w:t>
            </w:r>
          </w:p>
          <w:p>
            <w:pPr>
              <w:spacing w:after="0"/>
            </w:pPr>
            <w:r>
              <w:rPr>
                <w:rFonts w:ascii="Consolas" w:cs="Consolas" w:eastAsia="Consolas" w:hAnsi="Consolas"/>
                <w:sz w:val="17"/>
                <w:szCs w:val="17"/>
              </w:rPr>
              <w:t xml:space="preserve">  → access_token issued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C00000" w:sz="18"/>
              <w:bottom w:val="none"/>
              <w:right w:val="none"/>
            </w:tcBorders>
            <w:shd w:fill="FCE4E4" w:val="clear"/>
            <w:tcMar>
              <w:top w:type="dxa" w:w="100"/>
              <w:left w:type="dxa" w:w="160"/>
              <w:bottom w:type="dxa" w:w="100"/>
              <w:right w:type="dxa" w:w="140"/>
            </w:tcMar>
          </w:tcPr>
          <w:p>
            <w:pPr>
              <w:spacing w:after="40"/>
            </w:pPr>
            <w:r>
              <w:rPr>
                <w:b/>
                <w:bCs/>
                <w:sz w:val="19"/>
                <w:szCs w:val="19"/>
              </w:rPr>
              <w:t xml:space="preserve">Result against vulnerable server</w:t>
            </w:r>
          </w:p>
          <w:p>
            <w:pPr>
              <w:spacing w:after="0"/>
            </w:pPr>
            <w:r>
              <w:t xml:space="preserve">leaked code redeemed with no PKCE verifier → access_token issued.</w:t>
            </w:r>
          </w:p>
        </w:tc>
      </w:tr>
    </w:tbl>
    <w:p>
      <w:pPr>
        <w:pStyle w:val="Heading3"/>
      </w:pPr>
      <w:r>
        <w:t xml:space="preserve">Remediation</w:t>
      </w:r>
    </w:p>
    <w:p>
      <w:pPr>
        <w:spacing w:after="120"/>
      </w:pPr>
      <w:r>
        <w:t xml:space="preserve">RFC 9700 (sec 2.1.1) mandates PKCE. The hardened AS requires a code_challenge for public clients at the authorization endpoint and verifies the S256 code_verifier at the token endpoint; the reference confidential client also adopts PKCE so the protection is universal. An attacker without the verifier cannot redeem a leaked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548235" w:sz="18"/>
              <w:bottom w:val="none"/>
              <w:right w:val="none"/>
            </w:tcBorders>
            <w:shd w:fill="E2EFDA" w:val="clear"/>
            <w:tcMar>
              <w:top w:type="dxa" w:w="100"/>
              <w:left w:type="dxa" w:w="160"/>
              <w:bottom w:type="dxa" w:w="100"/>
              <w:right w:type="dxa" w:w="140"/>
            </w:tcMar>
          </w:tcPr>
          <w:p>
            <w:pPr>
              <w:spacing w:after="40"/>
            </w:pPr>
            <w:r>
              <w:rPr>
                <w:b/>
                <w:bCs/>
                <w:sz w:val="19"/>
                <w:szCs w:val="19"/>
              </w:rPr>
              <w:t xml:space="preserve">Result against hardened server</w:t>
            </w:r>
          </w:p>
          <w:p>
            <w:pPr>
              <w:spacing w:after="0"/>
            </w:pPr>
            <w:r>
              <w:t xml:space="preserve">no code issued — PKCE required at the authorization endpoint; a leaked code is unredeemable without the verifier.</w:t>
            </w:r>
          </w:p>
        </w:tc>
      </w:tr>
    </w:tbl>
    <w:p>
      <w:pPr>
        <w:spacing w:after="80"/>
      </w:pPr>
      <w:r>
        <w:t xml:space="preserve"/>
      </w:r>
    </w:p>
    <w:p>
      <w:pPr>
        <w:pStyle w:val="Heading2"/>
      </w:pPr>
      <w:r>
        <w:t xml:space="preserve">3.4 Vulnerability 4: Authorization Code Replay</w:t>
      </w:r>
    </w:p>
    <w:p>
      <w:pPr>
        <w:spacing w:after="120"/>
      </w:pPr>
      <w:r>
        <w:rPr>
          <w:b/>
          <w:bCs/>
        </w:rPr>
        <w:t xml:space="preserve">Severity: </w:t>
      </w:r>
      <w:r>
        <w:t xml:space="preserve">Medium    </w:t>
      </w:r>
      <w:r>
        <w:rPr>
          <w:b/>
          <w:bCs/>
        </w:rPr>
        <w:t xml:space="preserve">Reference: </w:t>
      </w:r>
      <w:r>
        <w:t xml:space="preserve">RFC 6749 §4.1.2, RFC 9700 §4.5</w:t>
      </w:r>
    </w:p>
    <w:p>
      <w:pPr>
        <w:pStyle w:val="Heading3"/>
      </w:pPr>
      <w:r>
        <w:t xml:space="preserve">Description</w:t>
      </w:r>
    </w:p>
    <w:p>
      <w:pPr>
        <w:spacing w:after="120"/>
      </w:pPr>
      <w:r>
        <w:t xml:space="preserve">An authorization code can be exchanged for tokens more than once. A code captured from logs, browser history, or a proxy can be replayed after the legitimate client has already consumed it.</w:t>
      </w:r>
    </w:p>
    <w:p>
      <w:pPr>
        <w:pStyle w:val="Heading3"/>
      </w:pPr>
      <w:r>
        <w:t xml:space="preserve">Root cause</w:t>
      </w:r>
    </w:p>
    <w:p>
      <w:pPr>
        <w:spacing w:after="120"/>
      </w:pPr>
      <w:r>
        <w:t xml:space="preserve">Codes are not marked used. The vulnerable /token issues tokens on every presentation of a valid code without invalidating it.</w:t>
      </w:r>
    </w:p>
    <w:p>
      <w:pPr>
        <w:pStyle w:val="Heading3"/>
      </w:pPr>
      <w:r>
        <w:t xml:space="preserve">Attack</w:t>
      </w:r>
    </w:p>
    <w:p>
      <w:pPr>
        <w:spacing w:after="120"/>
      </w:pPr>
      <w:r>
        <w:t xml:space="preserve">The attack script performs: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pPr>
              <w:spacing w:after="0"/>
            </w:pPr>
            <w:r>
              <w:rPr>
                <w:rFonts w:ascii="Consolas" w:cs="Consolas" w:eastAsia="Consolas" w:hAnsi="Consolas"/>
                <w:sz w:val="17"/>
                <w:szCs w:val="17"/>
              </w:rPr>
              <w:t xml:space="preserve">a code is issued for alice</w:t>
            </w:r>
          </w:p>
          <w:p>
            <w:pPr>
              <w:spacing w:after="0"/>
            </w:pPr>
            <w:r>
              <w:rPr>
                <w:rFonts w:ascii="Consolas" w:cs="Consolas" w:eastAsia="Consolas" w:hAnsi="Consolas"/>
                <w:sz w:val="17"/>
                <w:szCs w:val="17"/>
              </w:rPr>
              <w:t xml:space="preserve">POST /token with the code  → access_token A</w:t>
            </w:r>
          </w:p>
          <w:p>
            <w:pPr>
              <w:spacing w:after="0"/>
            </w:pPr>
            <w:r>
              <w:rPr>
                <w:rFonts w:ascii="Consolas" w:cs="Consolas" w:eastAsia="Consolas" w:hAnsi="Consolas"/>
                <w:sz w:val="17"/>
                <w:szCs w:val="17"/>
              </w:rPr>
              <w:t xml:space="preserve">POST /token with the SAME code  → access_token B</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C00000" w:sz="18"/>
              <w:bottom w:val="none"/>
              <w:right w:val="none"/>
            </w:tcBorders>
            <w:shd w:fill="FCE4E4" w:val="clear"/>
            <w:tcMar>
              <w:top w:type="dxa" w:w="100"/>
              <w:left w:type="dxa" w:w="160"/>
              <w:bottom w:type="dxa" w:w="100"/>
              <w:right w:type="dxa" w:w="140"/>
            </w:tcMar>
          </w:tcPr>
          <w:p>
            <w:pPr>
              <w:spacing w:after="40"/>
            </w:pPr>
            <w:r>
              <w:rPr>
                <w:b/>
                <w:bCs/>
                <w:sz w:val="19"/>
                <w:szCs w:val="19"/>
              </w:rPr>
              <w:t xml:space="preserve">Result against vulnerable server</w:t>
            </w:r>
          </w:p>
          <w:p>
            <w:pPr>
              <w:spacing w:after="0"/>
            </w:pPr>
            <w:r>
              <w:t xml:space="preserve">code replayed: two distinct access tokens minted from one code.</w:t>
            </w:r>
          </w:p>
        </w:tc>
      </w:tr>
    </w:tbl>
    <w:p>
      <w:pPr>
        <w:pStyle w:val="Heading3"/>
      </w:pPr>
      <w:r>
        <w:t xml:space="preserve">Remediation</w:t>
      </w:r>
    </w:p>
    <w:p>
      <w:pPr>
        <w:spacing w:after="120"/>
      </w:pPr>
      <w:r>
        <w:t xml:space="preserve">RFC 6749 sec 4.1.2 requires codes to be single-use; RFC 9700 sec 4.5 adds that reuse should be treated as an attack signal. The hardened /token marks the code used on first exchange, rejects any reuse, and revokes tokens previously minted from that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548235" w:sz="18"/>
              <w:bottom w:val="none"/>
              <w:right w:val="none"/>
            </w:tcBorders>
            <w:shd w:fill="E2EFDA" w:val="clear"/>
            <w:tcMar>
              <w:top w:type="dxa" w:w="100"/>
              <w:left w:type="dxa" w:w="160"/>
              <w:bottom w:type="dxa" w:w="100"/>
              <w:right w:type="dxa" w:w="140"/>
            </w:tcMar>
          </w:tcPr>
          <w:p>
            <w:pPr>
              <w:spacing w:after="40"/>
            </w:pPr>
            <w:r>
              <w:rPr>
                <w:b/>
                <w:bCs/>
                <w:sz w:val="19"/>
                <w:szCs w:val="19"/>
              </w:rPr>
              <w:t xml:space="preserve">Result against hardened server</w:t>
            </w:r>
          </w:p>
          <w:p>
            <w:pPr>
              <w:spacing w:after="0"/>
            </w:pPr>
            <w:r>
              <w:t xml:space="preserve">replay rejected — 'code reuse detected; tokens revoked'.</w:t>
            </w:r>
          </w:p>
        </w:tc>
      </w:tr>
    </w:tbl>
    <w:p>
      <w:pPr>
        <w:spacing w:after="80"/>
      </w:pPr>
      <w:r>
        <w:t xml:space="preserve"/>
      </w:r>
    </w:p>
    <w:p>
      <w:pPr>
        <w:pStyle w:val="Heading2"/>
      </w:pPr>
      <w:r>
        <w:t xml:space="preserve">3.5 Vulnerability 5: id_token Accepted Without Validation</w:t>
      </w:r>
    </w:p>
    <w:p>
      <w:pPr>
        <w:spacing w:after="120"/>
      </w:pPr>
      <w:r>
        <w:rPr>
          <w:b/>
          <w:bCs/>
        </w:rPr>
        <w:t xml:space="preserve">Severity: </w:t>
      </w:r>
      <w:r>
        <w:t xml:space="preserve">Critical    </w:t>
      </w:r>
      <w:r>
        <w:rPr>
          <w:b/>
          <w:bCs/>
        </w:rPr>
        <w:t xml:space="preserve">Reference: </w:t>
      </w:r>
      <w:r>
        <w:t xml:space="preserve">OpenID Connect Core 1.0 §3.1.3.7</w:t>
      </w:r>
    </w:p>
    <w:p>
      <w:pPr>
        <w:pStyle w:val="Heading3"/>
      </w:pPr>
      <w:r>
        <w:t xml:space="preserve">Description</w:t>
      </w:r>
    </w:p>
    <w:p>
      <w:pPr>
        <w:spacing w:after="120"/>
      </w:pPr>
      <w:r>
        <w:t xml:space="preserve">The client trusts the OIDC id_token without verifying it: no signature check, no algorithm pinning, and no issuer, audience, or nonce validation. Any party able to place an id_token in front of the client (a malicious or mixed-up authorization server, a MITM on a non-pinned channel, or a front-channel response) can forge an identity.</w:t>
      </w:r>
    </w:p>
    <w:p>
      <w:pPr>
        <w:pStyle w:val="Heading3"/>
      </w:pPr>
      <w:r>
        <w:t xml:space="preserve">Root cause</w:t>
      </w:r>
    </w:p>
    <w:p>
      <w:pPr>
        <w:spacing w:after="120"/>
      </w:pPr>
      <w:r>
        <w:t xml:space="preserve">Unverified decode. The vulnerable client base64url-decodes the id_token payload and trusts the sub claim directly, instead of cryptographically verifying the token.</w:t>
      </w:r>
    </w:p>
    <w:p>
      <w:pPr>
        <w:pStyle w:val="Heading3"/>
      </w:pPr>
      <w:r>
        <w:t xml:space="preserve">Attack</w:t>
      </w:r>
    </w:p>
    <w:p>
      <w:pPr>
        <w:spacing w:after="120"/>
      </w:pPr>
      <w:r>
        <w:t xml:space="preserve">The attack script performs: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2F2F2" w:val="clear"/>
            <w:tcMar>
              <w:top w:type="dxa" w:w="100"/>
              <w:left w:type="dxa" w:w="140"/>
              <w:bottom w:type="dxa" w:w="100"/>
              <w:right w:type="dxa" w:w="140"/>
            </w:tcMar>
          </w:tcPr>
          <w:p>
            <w:pPr>
              <w:spacing w:after="0"/>
            </w:pPr>
            <w:r>
              <w:rPr>
                <w:rFonts w:ascii="Consolas" w:cs="Consolas" w:eastAsia="Consolas" w:hAnsi="Consolas"/>
                <w:sz w:val="17"/>
                <w:szCs w:val="17"/>
              </w:rPr>
              <w:t xml:space="preserve">forge F1: alg='none' unsigned token, sub='admin'</w:t>
            </w:r>
          </w:p>
          <w:p>
            <w:pPr>
              <w:spacing w:after="0"/>
            </w:pPr>
            <w:r>
              <w:rPr>
                <w:rFonts w:ascii="Consolas" w:cs="Consolas" w:eastAsia="Consolas" w:hAnsi="Consolas"/>
                <w:sz w:val="17"/>
                <w:szCs w:val="17"/>
              </w:rPr>
              <w:t xml:space="preserve">forge F2: HS256 token signed with the WRONG key, sub='admin'</w:t>
            </w:r>
          </w:p>
          <w:p>
            <w:pPr>
              <w:spacing w:after="0"/>
            </w:pPr>
            <w:r>
              <w:rPr>
                <w:rFonts w:ascii="Consolas" w:cs="Consolas" w:eastAsia="Consolas" w:hAnsi="Consolas"/>
                <w:sz w:val="17"/>
                <w:szCs w:val="17"/>
              </w:rPr>
              <w:t xml:space="preserve">feed each to the client's id_token handling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C00000" w:sz="18"/>
              <w:bottom w:val="none"/>
              <w:right w:val="none"/>
            </w:tcBorders>
            <w:shd w:fill="FCE4E4" w:val="clear"/>
            <w:tcMar>
              <w:top w:type="dxa" w:w="100"/>
              <w:left w:type="dxa" w:w="160"/>
              <w:bottom w:type="dxa" w:w="100"/>
              <w:right w:type="dxa" w:w="140"/>
            </w:tcMar>
          </w:tcPr>
          <w:p>
            <w:pPr>
              <w:spacing w:after="40"/>
            </w:pPr>
            <w:r>
              <w:rPr>
                <w:b/>
                <w:bCs/>
                <w:sz w:val="19"/>
                <w:szCs w:val="19"/>
              </w:rPr>
              <w:t xml:space="preserve">Result against vulnerable server</w:t>
            </w:r>
          </w:p>
          <w:p>
            <w:pPr>
              <w:spacing w:after="0"/>
            </w:pPr>
            <w:r>
              <w:t xml:space="preserve">vulnerable client accepted forged id_token(s): ['alg=none', 'HS256/wrong-key'] → sub=admin.</w:t>
            </w:r>
          </w:p>
        </w:tc>
      </w:tr>
    </w:tbl>
    <w:p>
      <w:pPr>
        <w:pStyle w:val="Heading3"/>
      </w:pPr>
      <w:r>
        <w:t xml:space="preserve">Remediation</w:t>
      </w:r>
    </w:p>
    <w:p>
      <w:pPr>
        <w:spacing w:after="120"/>
      </w:pPr>
      <w:r>
        <w:t xml:space="preserve">OpenID Connect Core 1.0 sec 3.1.3.7 requires verifying the signature, pinning the expected algorithm, and validating iss, aud, and nonce. The hardened client calls a strict verifier with all expectations pinned; both forgeries are rejected. This is the boundary into System 5, which takes the JWT cryptography deeper.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548235" w:sz="18"/>
              <w:bottom w:val="none"/>
              <w:right w:val="none"/>
            </w:tcBorders>
            <w:shd w:fill="E2EFDA" w:val="clear"/>
            <w:tcMar>
              <w:top w:type="dxa" w:w="100"/>
              <w:left w:type="dxa" w:w="160"/>
              <w:bottom w:type="dxa" w:w="100"/>
              <w:right w:type="dxa" w:w="140"/>
            </w:tcMar>
          </w:tcPr>
          <w:p>
            <w:pPr>
              <w:spacing w:after="40"/>
            </w:pPr>
            <w:r>
              <w:rPr>
                <w:b/>
                <w:bCs/>
                <w:sz w:val="19"/>
                <w:szCs w:val="19"/>
              </w:rPr>
              <w:t xml:space="preserve">Result against hardened server</w:t>
            </w:r>
          </w:p>
          <w:p>
            <w:pPr>
              <w:spacing w:after="0"/>
            </w:pPr>
            <w:r>
              <w:t xml:space="preserve">both forgeries rejected (sub=None) under strict verification with pinned alg and validated iss/aud/nonce.</w:t>
            </w:r>
          </w:p>
        </w:tc>
      </w:tr>
    </w:tbl>
    <w:p>
      <w:pPr>
        <w:spacing w:after="80"/>
      </w:pPr>
      <w:r>
        <w:t xml:space="preserve"/>
      </w:r>
    </w:p>
    <w:p>
      <w:pPr>
        <w:pStyle w:val="Heading1"/>
      </w:pPr>
      <w:r>
        <w:t xml:space="preserve">4. Results Summary</w:t>
      </w:r>
    </w:p>
    <w:p>
      <w:pPr>
        <w:spacing w:after="120"/>
      </w:pPr>
      <w:r>
        <w:t xml:space="preserve">All five attacks succeeded against the vulnerable stack and were blocked against the hardened stack, while the legitimate login flow continued to return the correct identity (alice).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060"/>
        <w:gridCol w:w="2200"/>
        <w:gridCol w:w="1400"/>
        <w:gridCol w:w="2200"/>
      </w:tblGrid>
      <w:tr>
        <w:trPr>
          <w:tblHeader/>
        </w:trPr>
        <w:tc>
          <w:tcPr>
            <w:tcW w:type="dxa" w:w="500"/>
            <w:shd w:fill="1F3864" w:val="clear"/>
            <w:tcMar>
              <w:top w:type="dxa" w:w="80"/>
              <w:left w:type="dxa" w:w="120"/>
              <w:bottom w:type="dxa" w:w="80"/>
              <w:right w:type="dxa" w:w="120"/>
            </w:tcMar>
          </w:tcPr>
          <w:p>
            <w:r>
              <w:rPr>
                <w:b/>
                <w:bCs/>
                <w:color w:val="FFFFFF"/>
                <w:sz w:val="19"/>
                <w:szCs w:val="19"/>
              </w:rPr>
              <w:t xml:space="preserve">#</w:t>
            </w:r>
          </w:p>
        </w:tc>
        <w:tc>
          <w:tcPr>
            <w:tcW w:type="dxa" w:w="3060"/>
            <w:shd w:fill="1F3864" w:val="clear"/>
            <w:tcMar>
              <w:top w:type="dxa" w:w="80"/>
              <w:left w:type="dxa" w:w="120"/>
              <w:bottom w:type="dxa" w:w="80"/>
              <w:right w:type="dxa" w:w="120"/>
            </w:tcMar>
          </w:tcPr>
          <w:p>
            <w:r>
              <w:rPr>
                <w:b/>
                <w:bCs/>
                <w:color w:val="FFFFFF"/>
                <w:sz w:val="19"/>
                <w:szCs w:val="19"/>
              </w:rPr>
              <w:t xml:space="preserve">Vulnerability</w:t>
            </w:r>
          </w:p>
        </w:tc>
        <w:tc>
          <w:tcPr>
            <w:tcW w:type="dxa" w:w="2200"/>
            <w:shd w:fill="1F3864" w:val="clear"/>
            <w:tcMar>
              <w:top w:type="dxa" w:w="80"/>
              <w:left w:type="dxa" w:w="120"/>
              <w:bottom w:type="dxa" w:w="80"/>
              <w:right w:type="dxa" w:w="120"/>
            </w:tcMar>
          </w:tcPr>
          <w:p>
            <w:r>
              <w:rPr>
                <w:b/>
                <w:bCs/>
                <w:color w:val="FFFFFF"/>
                <w:sz w:val="19"/>
                <w:szCs w:val="19"/>
              </w:rPr>
              <w:t xml:space="preserve">Vulnerable</w:t>
            </w:r>
          </w:p>
        </w:tc>
        <w:tc>
          <w:tcPr>
            <w:tcW w:type="dxa" w:w="1400"/>
            <w:shd w:fill="1F3864" w:val="clear"/>
            <w:tcMar>
              <w:top w:type="dxa" w:w="80"/>
              <w:left w:type="dxa" w:w="120"/>
              <w:bottom w:type="dxa" w:w="80"/>
              <w:right w:type="dxa" w:w="120"/>
            </w:tcMar>
          </w:tcPr>
          <w:p>
            <w:r>
              <w:rPr>
                <w:b/>
                <w:bCs/>
                <w:color w:val="FFFFFF"/>
                <w:sz w:val="19"/>
                <w:szCs w:val="19"/>
              </w:rPr>
              <w:t xml:space="preserve">Hardened</w:t>
            </w:r>
          </w:p>
        </w:tc>
        <w:tc>
          <w:tcPr>
            <w:tcW w:type="dxa" w:w="2200"/>
            <w:shd w:fill="1F3864" w:val="clear"/>
            <w:tcMar>
              <w:top w:type="dxa" w:w="80"/>
              <w:left w:type="dxa" w:w="120"/>
              <w:bottom w:type="dxa" w:w="80"/>
              <w:right w:type="dxa" w:w="120"/>
            </w:tcMar>
          </w:tcPr>
          <w:p>
            <w:r>
              <w:rPr>
                <w:b/>
                <w:bCs/>
                <w:color w:val="FFFFFF"/>
                <w:sz w:val="19"/>
                <w:szCs w:val="19"/>
              </w:rPr>
              <w:t xml:space="preserve">Control</w:t>
            </w:r>
          </w:p>
        </w:tc>
      </w:tr>
      <w:tr>
        <w:tc>
          <w:tcPr>
            <w:tcW w:type="dxa" w:w="500"/>
            <w:tcBorders>
              <w:top w:val="single" w:color="CCCCCC" w:sz="1"/>
              <w:left w:val="single" w:color="CCCCCC" w:sz="1"/>
              <w:bottom w:val="single" w:color="CCCCCC" w:sz="1"/>
              <w:right w:val="single" w:color="CCCCCC" w:sz="1"/>
            </w:tcBorders>
            <w:shd w:fill="F2F6FB" w:val="clear"/>
            <w:tcMar>
              <w:top w:type="dxa" w:w="70"/>
              <w:left w:type="dxa" w:w="120"/>
              <w:bottom w:type="dxa" w:w="70"/>
              <w:right w:type="dxa" w:w="120"/>
            </w:tcMar>
          </w:tcPr>
          <w:p>
            <w:r>
              <w:t xml:space="preserve">1</w:t>
            </w:r>
          </w:p>
        </w:tc>
        <w:tc>
          <w:tcPr>
            <w:tcW w:type="dxa" w:w="3060"/>
            <w:tcBorders>
              <w:top w:val="single" w:color="CCCCCC" w:sz="1"/>
              <w:left w:val="single" w:color="CCCCCC" w:sz="1"/>
              <w:bottom w:val="single" w:color="CCCCCC" w:sz="1"/>
              <w:right w:val="single" w:color="CCCCCC" w:sz="1"/>
            </w:tcBorders>
            <w:shd w:fill="F2F6FB" w:val="clear"/>
            <w:tcMar>
              <w:top w:type="dxa" w:w="70"/>
              <w:left w:type="dxa" w:w="120"/>
              <w:bottom w:type="dxa" w:w="70"/>
              <w:right w:type="dxa" w:w="120"/>
            </w:tcMar>
          </w:tcPr>
          <w:p>
            <w:r>
              <w:t xml:space="preserve">Redirect URI manipulation</w:t>
            </w:r>
          </w:p>
        </w:tc>
        <w:tc>
          <w:tcPr>
            <w:tcW w:type="dxa" w:w="2200"/>
            <w:tcBorders>
              <w:top w:val="single" w:color="CCCCCC" w:sz="1"/>
              <w:left w:val="single" w:color="CCCCCC" w:sz="1"/>
              <w:bottom w:val="single" w:color="CCCCCC" w:sz="1"/>
              <w:right w:val="single" w:color="CCCCCC" w:sz="1"/>
            </w:tcBorders>
            <w:shd w:fill="F2F6FB" w:val="clear"/>
            <w:tcMar>
              <w:top w:type="dxa" w:w="70"/>
              <w:left w:type="dxa" w:w="120"/>
              <w:bottom w:type="dxa" w:w="70"/>
              <w:right w:type="dxa" w:w="120"/>
            </w:tcMar>
          </w:tcPr>
          <w:p>
            <w:r>
              <w:t xml:space="preserve">Account data stolen</w:t>
            </w:r>
          </w:p>
        </w:tc>
        <w:tc>
          <w:tcPr>
            <w:tcW w:type="dxa" w:w="1400"/>
            <w:tcBorders>
              <w:top w:val="single" w:color="CCCCCC" w:sz="1"/>
              <w:left w:val="single" w:color="CCCCCC" w:sz="1"/>
              <w:bottom w:val="single" w:color="CCCCCC" w:sz="1"/>
              <w:right w:val="single" w:color="CCCCCC" w:sz="1"/>
            </w:tcBorders>
            <w:shd w:fill="F2F6FB" w:val="clear"/>
            <w:tcMar>
              <w:top w:type="dxa" w:w="70"/>
              <w:left w:type="dxa" w:w="120"/>
              <w:bottom w:type="dxa" w:w="70"/>
              <w:right w:type="dxa" w:w="120"/>
            </w:tcMar>
          </w:tcPr>
          <w:p>
            <w:r>
              <w:t xml:space="preserve">Blocked</w:t>
            </w:r>
          </w:p>
        </w:tc>
        <w:tc>
          <w:tcPr>
            <w:tcW w:type="dxa" w:w="2200"/>
            <w:tcBorders>
              <w:top w:val="single" w:color="CCCCCC" w:sz="1"/>
              <w:left w:val="single" w:color="CCCCCC" w:sz="1"/>
              <w:bottom w:val="single" w:color="CCCCCC" w:sz="1"/>
              <w:right w:val="single" w:color="CCCCCC" w:sz="1"/>
            </w:tcBorders>
            <w:shd w:fill="F2F6FB" w:val="clear"/>
            <w:tcMar>
              <w:top w:type="dxa" w:w="70"/>
              <w:left w:type="dxa" w:w="120"/>
              <w:bottom w:type="dxa" w:w="70"/>
              <w:right w:type="dxa" w:w="120"/>
            </w:tcMar>
          </w:tcPr>
          <w:p>
            <w:r>
              <w:t xml:space="preserve">Exact-match redirect_uri</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t xml:space="preserve">2</w:t>
            </w:r>
          </w:p>
        </w:tc>
        <w:tc>
          <w:tcPr>
            <w:tcW w:type="dxa" w:w="30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t xml:space="preserve">CSRF / code injection</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t xml:space="preserve">Session fixated</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t xml:space="preserve">Blocked</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t xml:space="preserve">state bound to session</w:t>
            </w:r>
          </w:p>
        </w:tc>
      </w:tr>
      <w:tr>
        <w:tc>
          <w:tcPr>
            <w:tcW w:type="dxa" w:w="500"/>
            <w:tcBorders>
              <w:top w:val="single" w:color="CCCCCC" w:sz="1"/>
              <w:left w:val="single" w:color="CCCCCC" w:sz="1"/>
              <w:bottom w:val="single" w:color="CCCCCC" w:sz="1"/>
              <w:right w:val="single" w:color="CCCCCC" w:sz="1"/>
            </w:tcBorders>
            <w:shd w:fill="F2F6FB" w:val="clear"/>
            <w:tcMar>
              <w:top w:type="dxa" w:w="70"/>
              <w:left w:type="dxa" w:w="120"/>
              <w:bottom w:type="dxa" w:w="70"/>
              <w:right w:type="dxa" w:w="120"/>
            </w:tcMar>
          </w:tcPr>
          <w:p>
            <w:r>
              <w:t xml:space="preserve">3</w:t>
            </w:r>
          </w:p>
        </w:tc>
        <w:tc>
          <w:tcPr>
            <w:tcW w:type="dxa" w:w="3060"/>
            <w:tcBorders>
              <w:top w:val="single" w:color="CCCCCC" w:sz="1"/>
              <w:left w:val="single" w:color="CCCCCC" w:sz="1"/>
              <w:bottom w:val="single" w:color="CCCCCC" w:sz="1"/>
              <w:right w:val="single" w:color="CCCCCC" w:sz="1"/>
            </w:tcBorders>
            <w:shd w:fill="F2F6FB" w:val="clear"/>
            <w:tcMar>
              <w:top w:type="dxa" w:w="70"/>
              <w:left w:type="dxa" w:w="120"/>
              <w:bottom w:type="dxa" w:w="70"/>
              <w:right w:type="dxa" w:w="120"/>
            </w:tcMar>
          </w:tcPr>
          <w:p>
            <w:r>
              <w:t xml:space="preserve">No PKCE</w:t>
            </w:r>
          </w:p>
        </w:tc>
        <w:tc>
          <w:tcPr>
            <w:tcW w:type="dxa" w:w="2200"/>
            <w:tcBorders>
              <w:top w:val="single" w:color="CCCCCC" w:sz="1"/>
              <w:left w:val="single" w:color="CCCCCC" w:sz="1"/>
              <w:bottom w:val="single" w:color="CCCCCC" w:sz="1"/>
              <w:right w:val="single" w:color="CCCCCC" w:sz="1"/>
            </w:tcBorders>
            <w:shd w:fill="F2F6FB" w:val="clear"/>
            <w:tcMar>
              <w:top w:type="dxa" w:w="70"/>
              <w:left w:type="dxa" w:w="120"/>
              <w:bottom w:type="dxa" w:w="70"/>
              <w:right w:type="dxa" w:w="120"/>
            </w:tcMar>
          </w:tcPr>
          <w:p>
            <w:r>
              <w:t xml:space="preserve">Leaked code redeemed</w:t>
            </w:r>
          </w:p>
        </w:tc>
        <w:tc>
          <w:tcPr>
            <w:tcW w:type="dxa" w:w="1400"/>
            <w:tcBorders>
              <w:top w:val="single" w:color="CCCCCC" w:sz="1"/>
              <w:left w:val="single" w:color="CCCCCC" w:sz="1"/>
              <w:bottom w:val="single" w:color="CCCCCC" w:sz="1"/>
              <w:right w:val="single" w:color="CCCCCC" w:sz="1"/>
            </w:tcBorders>
            <w:shd w:fill="F2F6FB" w:val="clear"/>
            <w:tcMar>
              <w:top w:type="dxa" w:w="70"/>
              <w:left w:type="dxa" w:w="120"/>
              <w:bottom w:type="dxa" w:w="70"/>
              <w:right w:type="dxa" w:w="120"/>
            </w:tcMar>
          </w:tcPr>
          <w:p>
            <w:r>
              <w:t xml:space="preserve">Blocked</w:t>
            </w:r>
          </w:p>
        </w:tc>
        <w:tc>
          <w:tcPr>
            <w:tcW w:type="dxa" w:w="2200"/>
            <w:tcBorders>
              <w:top w:val="single" w:color="CCCCCC" w:sz="1"/>
              <w:left w:val="single" w:color="CCCCCC" w:sz="1"/>
              <w:bottom w:val="single" w:color="CCCCCC" w:sz="1"/>
              <w:right w:val="single" w:color="CCCCCC" w:sz="1"/>
            </w:tcBorders>
            <w:shd w:fill="F2F6FB" w:val="clear"/>
            <w:tcMar>
              <w:top w:type="dxa" w:w="70"/>
              <w:left w:type="dxa" w:w="120"/>
              <w:bottom w:type="dxa" w:w="70"/>
              <w:right w:type="dxa" w:w="120"/>
            </w:tcMar>
          </w:tcPr>
          <w:p>
            <w:r>
              <w:t xml:space="preserve">PKCE required + verified</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t xml:space="preserve">4</w:t>
            </w:r>
          </w:p>
        </w:tc>
        <w:tc>
          <w:tcPr>
            <w:tcW w:type="dxa" w:w="30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t xml:space="preserve">Code replay</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t xml:space="preserve">Two tokens, one code</w:t>
            </w:r>
          </w:p>
        </w:tc>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t xml:space="preserve">Blocked</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t xml:space="preserve">Single-use + revocation</w:t>
            </w:r>
          </w:p>
        </w:tc>
      </w:tr>
      <w:tr>
        <w:tc>
          <w:tcPr>
            <w:tcW w:type="dxa" w:w="500"/>
            <w:tcBorders>
              <w:top w:val="single" w:color="CCCCCC" w:sz="1"/>
              <w:left w:val="single" w:color="CCCCCC" w:sz="1"/>
              <w:bottom w:val="single" w:color="CCCCCC" w:sz="1"/>
              <w:right w:val="single" w:color="CCCCCC" w:sz="1"/>
            </w:tcBorders>
            <w:shd w:fill="F2F6FB" w:val="clear"/>
            <w:tcMar>
              <w:top w:type="dxa" w:w="70"/>
              <w:left w:type="dxa" w:w="120"/>
              <w:bottom w:type="dxa" w:w="70"/>
              <w:right w:type="dxa" w:w="120"/>
            </w:tcMar>
          </w:tcPr>
          <w:p>
            <w:r>
              <w:t xml:space="preserve">5</w:t>
            </w:r>
          </w:p>
        </w:tc>
        <w:tc>
          <w:tcPr>
            <w:tcW w:type="dxa" w:w="3060"/>
            <w:tcBorders>
              <w:top w:val="single" w:color="CCCCCC" w:sz="1"/>
              <w:left w:val="single" w:color="CCCCCC" w:sz="1"/>
              <w:bottom w:val="single" w:color="CCCCCC" w:sz="1"/>
              <w:right w:val="single" w:color="CCCCCC" w:sz="1"/>
            </w:tcBorders>
            <w:shd w:fill="F2F6FB" w:val="clear"/>
            <w:tcMar>
              <w:top w:type="dxa" w:w="70"/>
              <w:left w:type="dxa" w:w="120"/>
              <w:bottom w:type="dxa" w:w="70"/>
              <w:right w:type="dxa" w:w="120"/>
            </w:tcMar>
          </w:tcPr>
          <w:p>
            <w:r>
              <w:t xml:space="preserve">id_token not validated</w:t>
            </w:r>
          </w:p>
        </w:tc>
        <w:tc>
          <w:tcPr>
            <w:tcW w:type="dxa" w:w="2200"/>
            <w:tcBorders>
              <w:top w:val="single" w:color="CCCCCC" w:sz="1"/>
              <w:left w:val="single" w:color="CCCCCC" w:sz="1"/>
              <w:bottom w:val="single" w:color="CCCCCC" w:sz="1"/>
              <w:right w:val="single" w:color="CCCCCC" w:sz="1"/>
            </w:tcBorders>
            <w:shd w:fill="F2F6FB" w:val="clear"/>
            <w:tcMar>
              <w:top w:type="dxa" w:w="70"/>
              <w:left w:type="dxa" w:w="120"/>
              <w:bottom w:type="dxa" w:w="70"/>
              <w:right w:type="dxa" w:w="120"/>
            </w:tcMar>
          </w:tcPr>
          <w:p>
            <w:r>
              <w:t xml:space="preserve">Forgery accepted as admin</w:t>
            </w:r>
          </w:p>
        </w:tc>
        <w:tc>
          <w:tcPr>
            <w:tcW w:type="dxa" w:w="1400"/>
            <w:tcBorders>
              <w:top w:val="single" w:color="CCCCCC" w:sz="1"/>
              <w:left w:val="single" w:color="CCCCCC" w:sz="1"/>
              <w:bottom w:val="single" w:color="CCCCCC" w:sz="1"/>
              <w:right w:val="single" w:color="CCCCCC" w:sz="1"/>
            </w:tcBorders>
            <w:shd w:fill="F2F6FB" w:val="clear"/>
            <w:tcMar>
              <w:top w:type="dxa" w:w="70"/>
              <w:left w:type="dxa" w:w="120"/>
              <w:bottom w:type="dxa" w:w="70"/>
              <w:right w:type="dxa" w:w="120"/>
            </w:tcMar>
          </w:tcPr>
          <w:p>
            <w:r>
              <w:t xml:space="preserve">Blocked</w:t>
            </w:r>
          </w:p>
        </w:tc>
        <w:tc>
          <w:tcPr>
            <w:tcW w:type="dxa" w:w="2200"/>
            <w:tcBorders>
              <w:top w:val="single" w:color="CCCCCC" w:sz="1"/>
              <w:left w:val="single" w:color="CCCCCC" w:sz="1"/>
              <w:bottom w:val="single" w:color="CCCCCC" w:sz="1"/>
              <w:right w:val="single" w:color="CCCCCC" w:sz="1"/>
            </w:tcBorders>
            <w:shd w:fill="F2F6FB" w:val="clear"/>
            <w:tcMar>
              <w:top w:type="dxa" w:w="70"/>
              <w:left w:type="dxa" w:w="120"/>
              <w:bottom w:type="dxa" w:w="70"/>
              <w:right w:type="dxa" w:w="120"/>
            </w:tcMar>
          </w:tcPr>
          <w:p>
            <w:r>
              <w:t xml:space="preserve">Strict id_token verify</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2E75B6" w:sz="18"/>
              <w:bottom w:val="none"/>
              <w:right w:val="none"/>
            </w:tcBorders>
            <w:shd w:fill="D5E8F0" w:val="clear"/>
            <w:tcMar>
              <w:top w:type="dxa" w:w="100"/>
              <w:left w:type="dxa" w:w="160"/>
              <w:bottom w:type="dxa" w:w="100"/>
              <w:right w:type="dxa" w:w="140"/>
            </w:tcMar>
          </w:tcPr>
          <w:p>
            <w:pPr>
              <w:spacing w:after="40"/>
            </w:pPr>
            <w:r>
              <w:rPr>
                <w:b/>
                <w:bCs/>
                <w:sz w:val="19"/>
                <w:szCs w:val="19"/>
              </w:rPr>
              <w:t xml:space="preserve">Verification basis</w:t>
            </w:r>
          </w:p>
          <w:p>
            <w:pPr>
              <w:spacing w:after="0"/>
            </w:pPr>
            <w:r>
              <w:t xml:space="preserve">Each row reflects a live execution. The vulnerable results are the actual outputs of the attack scripts against the servers on ports 5000–5002; the hardened results are the same scripts re-run after the RFC 9700 controls were applied, on the same ports.</w:t>
            </w:r>
          </w:p>
        </w:tc>
      </w:tr>
    </w:tbl>
    <w:p>
      <w:pPr>
        <w:pStyle w:val="Heading1"/>
      </w:pPr>
      <w:r>
        <w:t xml:space="preserve">5. Residual Notes and Handoff</w:t>
      </w:r>
    </w:p>
    <w:p>
      <w:pPr>
        <w:pStyle w:val="Heading2"/>
      </w:pPr>
      <w:r>
        <w:t xml:space="preserve">5.1 Deliberately deferred</w:t>
      </w:r>
    </w:p>
    <w:p>
      <w:pPr>
        <w:pStyle w:val="ListParagraph"/>
        <w:numPr>
          <w:ilvl w:val="0"/>
          <w:numId w:val="2"/>
        </w:numPr>
        <w:spacing w:after="60"/>
      </w:pPr>
      <w:r>
        <w:rPr>
          <w:b/>
          <w:bCs/>
        </w:rPr>
        <w:t xml:space="preserve">Implicit grant</w:t>
      </w:r>
      <w:r>
        <w:t xml:space="preserve"> is not implemented. It returns tokens in the URL fragment, exposing them to browser history, referrers, and scripts; RFC 9700 and OAuth 2.1 deprecate it. It is noted here as deprecated rather than demonstrated.</w:t>
      </w:r>
    </w:p>
    <w:p>
      <w:pPr>
        <w:pStyle w:val="ListParagraph"/>
        <w:numPr>
          <w:ilvl w:val="0"/>
          <w:numId w:val="2"/>
        </w:numPr>
        <w:spacing w:after="60"/>
      </w:pPr>
      <w:r>
        <w:rPr>
          <w:b/>
          <w:bCs/>
        </w:rPr>
        <w:t xml:space="preserve">Deeper JWT attacks</w:t>
      </w:r>
      <w:r>
        <w:t xml:space="preserve"> (algorithm-confusion RS256→HS256, weak-secret brute force, JWKS spoofing) belong to System 5. Vulnerability 5 establishes the validation-policy foundation they build on.</w:t>
      </w:r>
    </w:p>
    <w:p>
      <w:pPr>
        <w:pStyle w:val="ListParagraph"/>
        <w:numPr>
          <w:ilvl w:val="0"/>
          <w:numId w:val="2"/>
        </w:numPr>
        <w:spacing w:after="60"/>
      </w:pPr>
      <w:r>
        <w:rPr>
          <w:b/>
          <w:bCs/>
        </w:rPr>
        <w:t xml:space="preserve">Refresh-token rotation and sender-constraining (DPoP)</w:t>
      </w:r>
      <w:r>
        <w:t xml:space="preserve"> are out of scope for this system; RFC 9700 recommends both for long-lived sessions.</w:t>
      </w:r>
    </w:p>
    <w:p>
      <w:pPr>
        <w:pStyle w:val="Heading2"/>
      </w:pPr>
      <w:r>
        <w:t xml:space="preserve">5.2 Bridge to System 5</w:t>
      </w:r>
    </w:p>
    <w:p>
      <w:pPr>
        <w:spacing w:after="120"/>
      </w:pPr>
      <w:r>
        <w:t xml:space="preserve">The id_token in Vulnerability 5 is a JWT. System 5 takes the same artifact and attacks the token itself rather than the policy around it: forging signatures via algorithm confusion, exploiting the 'none' algorithm against libraries that do not pin alg, and brute-forcing weak HMAC secrets. The strict verifier built here (pinned algorithm, signature check, claim validation) is the defensive baseline System 5 will extend.</w:t>
      </w:r>
    </w:p>
    <w:p>
      <w:pPr>
        <w:pStyle w:val="Heading1"/>
      </w:pPr>
      <w:r>
        <w:t xml:space="preserve">6. References</w:t>
      </w:r>
    </w:p>
    <w:p>
      <w:pPr>
        <w:pStyle w:val="ListParagraph"/>
        <w:numPr>
          <w:ilvl w:val="0"/>
          <w:numId w:val="2"/>
        </w:numPr>
        <w:spacing w:after="60"/>
      </w:pPr>
      <w:r>
        <w:t xml:space="preserve">RFC 6749 — The OAuth 2.0 Authorization Framework (2012).</w:t>
      </w:r>
    </w:p>
    <w:p>
      <w:pPr>
        <w:pStyle w:val="ListParagraph"/>
        <w:numPr>
          <w:ilvl w:val="0"/>
          <w:numId w:val="2"/>
        </w:numPr>
        <w:spacing w:after="60"/>
      </w:pPr>
      <w:r>
        <w:t xml:space="preserve">RFC 6750 — OAuth 2.0 Bearer Token Usage.</w:t>
      </w:r>
    </w:p>
    <w:p>
      <w:pPr>
        <w:pStyle w:val="ListParagraph"/>
        <w:numPr>
          <w:ilvl w:val="0"/>
          <w:numId w:val="2"/>
        </w:numPr>
        <w:spacing w:after="60"/>
      </w:pPr>
      <w:r>
        <w:t xml:space="preserve">RFC 7636 — Proof Key for Code Exchange by OAuth Public Clients.</w:t>
      </w:r>
    </w:p>
    <w:p>
      <w:pPr>
        <w:pStyle w:val="ListParagraph"/>
        <w:numPr>
          <w:ilvl w:val="0"/>
          <w:numId w:val="2"/>
        </w:numPr>
        <w:spacing w:after="60"/>
      </w:pPr>
      <w:r>
        <w:t xml:space="preserve">RFC 9700 — Best Current Practice for OAuth 2.0 Security (January 2025).</w:t>
      </w:r>
    </w:p>
    <w:p>
      <w:pPr>
        <w:pStyle w:val="ListParagraph"/>
        <w:numPr>
          <w:ilvl w:val="0"/>
          <w:numId w:val="2"/>
        </w:numPr>
        <w:spacing w:after="60"/>
      </w:pPr>
      <w:r>
        <w:t xml:space="preserve">OpenID Connect Core 1.0 — OpenID Foundation.</w:t>
      </w:r>
    </w:p>
    <w:p>
      <w:pPr>
        <w:pStyle w:val="ListParagraph"/>
        <w:numPr>
          <w:ilvl w:val="0"/>
          <w:numId w:val="2"/>
        </w:numPr>
        <w:spacing w:after="60"/>
      </w:pPr>
      <w:r>
        <w:t xml:space="preserve">draft-ietf-oauth-v2-1-15 — The OAuth 2.1 Authorization Framework (work in progress, March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jc w:val="center"/>
    </w:pPr>
    <w:r>
      <w:rPr>
        <w:color w:val="595959"/>
        <w:sz w:val="16"/>
        <w:szCs w:val="16"/>
      </w:rPr>
      <w:t xml:space="preserve">OAuth 2.0 &amp; OIDC  ·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2"/>
      </w:pBdr>
      <w:spacing w:after="0"/>
      <w:jc w:val="right"/>
    </w:pPr>
    <w:r>
      <w:rPr>
        <w:color w:val="595959"/>
        <w:sz w:val="16"/>
        <w:szCs w:val="16"/>
      </w:rPr>
      <w:t xml:space="preserve">Authentication Security Study Series — System 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60" w:before="30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75B6"/>
      <w:sz w:val="25"/>
      <w:szCs w:val="25"/>
    </w:rPr>
  </w:style>
  <w:style w:type="paragraph" w:styleId="Heading3">
    <w:name w:val="Heading 3"/>
    <w:basedOn w:val="Normal"/>
    <w:next w:val="Normal"/>
    <w:qFormat/>
    <w:pPr>
      <w:spacing w:after="80" w:before="14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4 — OAuth 2.0 &amp; OpenID Connect</dc:title>
  <dc:creator>Authentication Security Study Series</dc:creator>
  <cp:lastModifiedBy>Un-named</cp:lastModifiedBy>
  <cp:revision>1</cp:revision>
  <dcterms:created xsi:type="dcterms:W3CDTF">2026-06-15T02:42:18.593Z</dcterms:created>
  <dcterms:modified xsi:type="dcterms:W3CDTF">2026-06-15T02:42:18.594Z</dcterms:modified>
</cp:coreProperties>
</file>

<file path=docProps/custom.xml><?xml version="1.0" encoding="utf-8"?>
<Properties xmlns="http://schemas.openxmlformats.org/officeDocument/2006/custom-properties" xmlns:vt="http://schemas.openxmlformats.org/officeDocument/2006/docPropsVTypes"/>
</file>