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place_order.py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place_order2.py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be using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place_order.py</w:t>
      </w:r>
      <w:r w:rsidDel="00000000" w:rsidR="00000000" w:rsidRPr="00000000">
        <w:rPr>
          <w:rtl w:val="0"/>
        </w:rPr>
        <w:t xml:space="preserve"> in future labs. Hence, let’s modify a copy.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place_order2.py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first </w:t>
      </w:r>
      <w:r w:rsidDel="00000000" w:rsidR="00000000" w:rsidRPr="00000000">
        <w:rPr>
          <w:rtl w:val="0"/>
        </w:rPr>
        <w:t xml:space="preserve">do a check that the </w:t>
      </w:r>
      <w:r w:rsidDel="00000000" w:rsidR="00000000" w:rsidRPr="00000000">
        <w:rPr>
          <w:b w:val="1"/>
          <w:rtl w:val="0"/>
        </w:rPr>
        <w:t xml:space="preserve">books’ availability is more than the quantity ordered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of the ordered book’s availability is less than quantity ordered, return error.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need to write to the activity log, activate error, etc.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continue as described in the lab.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Suggested response. </w:t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015"/>
        <w:tblGridChange w:id="0">
          <w:tblGrid>
            <w:gridCol w:w="1425"/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Code - 409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– insufficient books in stock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"code": 409,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"availability": 5,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"isbn": "9213213213213",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"required": 1000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"availability": 2,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"isbn": "9781449474212",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"required": 987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"message": "Insufficient books in stock."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