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[Recap] Fill in the blanks to start up a new container for pet microservice so that it will match the diagram.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279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docker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___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___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___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-e dbURL=mysql+mysqlconnector://is213@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___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:3306/pet lfthiang/pet:recap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9999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8888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-e dbURL=mysql+mysqlconnector://is213@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host.docker.internal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:3306/pet lfthiang/pet:recap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[Recap] Assume compose.yaml is correct.  Choose ALL correct statements.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'docker compose up', it will start 2 containers.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port 25000 is mapped to 'tea' container's port 15000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will be a port conflict as both 'tea' container and 'milk' container are listening to port 15000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esd/tea:recap image is not available locally nor on Docker Hub, docker compose will build the image.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'milk' service block is missing 'build:' block, thus, docker compose will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[Make a guess] Look at the code in the image. Select all CORRECT statements.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a python module named "requests".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6 sends a HTTP GET to http://localhost:5000/book/1234567890123 and stores the HTTP response in the variable "response"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book.py from the previous lab, if there is no book with ISBN 1234567890123, the HTTP status code printed out is 200.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9 prints the JSON received in the HTTP response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Side note: The lab book.py sends 201 for successful cases.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