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32"/>
        </w:rPr>
        <w:t>CHAPTER THREE</w:t>
      </w:r>
    </w:p>
    <w:p>
      <w:pPr>
        <w:spacing w:before="360" w:after="240"/>
        <w:jc w:val="center"/>
      </w:pPr>
      <w:r>
        <w:rPr>
          <w:rFonts w:ascii="Times New Roman" w:hAnsi="Times New Roman"/>
          <w:b/>
          <w:sz w:val="32"/>
        </w:rPr>
        <w:t>DESIGN METHODOLOGY</w:t>
      </w:r>
    </w:p>
    <w:p>
      <w:pPr>
        <w:spacing w:before="240" w:after="120"/>
      </w:pPr>
      <w:r>
        <w:rPr>
          <w:rFonts w:ascii="Times New Roman" w:hAnsi="Times New Roman"/>
          <w:b/>
          <w:sz w:val="28"/>
        </w:rPr>
        <w:t>3.1  Conceptual Design of System</w:t>
      </w:r>
    </w:p>
    <w:p>
      <w:pPr>
        <w:spacing w:after="160" w:line="360" w:lineRule="auto"/>
        <w:ind w:firstLine="720"/>
      </w:pPr>
      <w:r>
        <w:rPr>
          <w:rFonts w:ascii="Times New Roman" w:hAnsi="Times New Roman"/>
          <w:sz w:val="24"/>
        </w:rPr>
        <w:t>The conceptual design of the proposed RFID-Based Agricultural Input Distribution and Farmer Management System is built around a three-tier architecture comprising a mobile client, a RESTful application server, and a centralised database. The system is designed to address the long-standing challenges of identity verification, double-collection of subsidised farm inputs, and lack of auditable distribution records that characterise manual, paper-based farmer support programmes. Each registered farmer is uniquely identified by a passive RFID tag whose unique identifier (UID) is permanently bound to the farmer's bio-data record at the point of enrolment. Field officers, equipped with NFC/RFID-enabled Android devices, perform on-the-spot verification by tapping the farmer's tag, retrieving the bio-data from the server in real time, and logging the distribution of seeds, fertilizer, herbicides or other inputs against that farmer's record.</w:t>
      </w:r>
    </w:p>
    <w:p>
      <w:pPr>
        <w:spacing w:after="160" w:line="360" w:lineRule="auto"/>
        <w:ind w:firstLine="720"/>
      </w:pPr>
      <w:r>
        <w:rPr>
          <w:rFonts w:ascii="Times New Roman" w:hAnsi="Times New Roman"/>
          <w:sz w:val="24"/>
        </w:rPr>
        <w:t>The conceptual model defines three primary actors — the Program Admin, the Field Officer and the Farmer — and four core entities, namely Farmer, Officer, Input and Distribution. The Admin manages officers and input inventory, the Officer registers farmers and dispenses inputs, while the Farmer is the passive subject whose RFID tag drives all downstream transactions. A scan-log entity records every read event for audit purposes. The high-level conceptual flow is presented in Figure 3.1.</w:t>
      </w:r>
    </w:p>
    <w:p>
      <w:pPr>
        <w:spacing w:before="120" w:after="120"/>
        <w:jc w:val="center"/>
      </w:pPr>
      <w:r>
        <w:rPr>
          <w:i/>
          <w:color w:val="808080"/>
          <w:sz w:val="22"/>
        </w:rPr>
        <w:t>[ Figure 3.1 — INSERT FIGURE HERE ]</w:t>
      </w:r>
    </w:p>
    <w:p>
      <w:pPr>
        <w:spacing w:before="120" w:after="120"/>
        <w:jc w:val="center"/>
      </w:pPr>
      <w:r>
        <w:rPr>
          <w:rFonts w:ascii="Times New Roman" w:hAnsi="Times New Roman"/>
          <w:b/>
          <w:i/>
          <w:sz w:val="22"/>
        </w:rPr>
        <w:t>Figure 3.1: Conceptual Architecture of the RFID-Based Farmer Management System</w:t>
      </w:r>
    </w:p>
    <w:p>
      <w:pPr>
        <w:spacing w:after="160" w:line="360" w:lineRule="auto"/>
        <w:ind w:firstLine="720"/>
      </w:pPr>
      <w:r>
        <w:rPr>
          <w:rFonts w:ascii="Times New Roman" w:hAnsi="Times New Roman"/>
          <w:sz w:val="24"/>
        </w:rPr>
        <w:t>Figure 3.1 illustrates the interaction between the mobile application (used by Officers and Admins), the RFID hardware layer (passive 13.56 MHz tags issued to farmers and the NFC reader embedded in the field officer's smartphone), the Express.js application server, and the MongoDB persistence layer. The mobile client communicates with the server exclusively over HTTPS using JSON Web Tokens (JWT) for stateless authentication. Email-based One-Time Passwords (OTP) are used for officer onboarding and password recovery, providing a low-cost second authentication factor without requiring SMS infrastructure.</w:t>
      </w:r>
    </w:p>
    <w:p>
      <w:pPr>
        <w:spacing w:before="120" w:after="120"/>
        <w:jc w:val="center"/>
      </w:pPr>
      <w:r>
        <w:rPr>
          <w:i/>
          <w:color w:val="808080"/>
          <w:sz w:val="22"/>
        </w:rPr>
        <w:t>[ Figure 3.2 — INSERT FIGURE HERE ]</w:t>
      </w:r>
    </w:p>
    <w:p>
      <w:pPr>
        <w:spacing w:before="120" w:after="120"/>
        <w:jc w:val="center"/>
      </w:pPr>
      <w:r>
        <w:rPr>
          <w:rFonts w:ascii="Times New Roman" w:hAnsi="Times New Roman"/>
          <w:b/>
          <w:i/>
          <w:sz w:val="22"/>
        </w:rPr>
        <w:t>Figure 3.2: Use-Case Diagram of the Proposed System</w:t>
      </w:r>
    </w:p>
    <w:p>
      <w:pPr>
        <w:spacing w:after="160" w:line="360" w:lineRule="auto"/>
        <w:ind w:firstLine="720"/>
      </w:pPr>
      <w:r>
        <w:rPr>
          <w:rFonts w:ascii="Times New Roman" w:hAnsi="Times New Roman"/>
          <w:sz w:val="24"/>
        </w:rPr>
        <w:t>Figure 3.2 captures the principal use-cases supported by the system. The Field Officer use-cases include: register-farmer, scan-RFID, retrieve-farmer-bio, dispense-input and view-history. The Program Admin use-cases include: create-officer, suspend-officer, manage-input-catalog, view-distribution-reports and audit-scan-logs. The Farmer is modelled as an indirect actor — the holder of the RFID tag — and does not interact with the application directly. This separation of duties enforces the principle that data entry (registration, distribution) is the exclusive responsibility of authenticated officers, while oversight and reporting remain with the admin role, thereby reducing the risk of fraudulent self-service transactions.</w:t>
      </w:r>
    </w:p>
    <w:p>
      <w:pPr>
        <w:spacing w:before="240" w:after="120"/>
      </w:pPr>
      <w:r>
        <w:rPr>
          <w:rFonts w:ascii="Times New Roman" w:hAnsi="Times New Roman"/>
          <w:b/>
          <w:sz w:val="28"/>
        </w:rPr>
        <w:t>3.2  Sources of Data Collection</w:t>
      </w:r>
    </w:p>
    <w:p>
      <w:pPr>
        <w:spacing w:after="160" w:line="360" w:lineRule="auto"/>
        <w:ind w:firstLine="720"/>
      </w:pPr>
      <w:r>
        <w:rPr>
          <w:rFonts w:ascii="Times New Roman" w:hAnsi="Times New Roman"/>
          <w:sz w:val="24"/>
        </w:rPr>
        <w:t>Both primary and secondary sources of data were used in the design and development of this system. The primary data was obtained through structured interviews with agricultural extension officers, field supervisors at a state Agricultural Development Programme (ADP) office, and a sample of registered smallholder farmers. A semi-structured interview guide was prepared to elicit information on the existing input-distribution workflow, the documents currently in use (farmer registers, distribution sheets, voucher books), the most common forms of fraud encountered (multiple collection by the same farmer under different names, ghost farmers, and tampering with paper records), and the technical limitations of the field environment such as intermittent internet connectivity and the prevalence of low-cost Android devices.</w:t>
      </w:r>
    </w:p>
    <w:p>
      <w:pPr>
        <w:spacing w:after="160" w:line="360" w:lineRule="auto"/>
        <w:ind w:firstLine="720"/>
      </w:pPr>
      <w:r>
        <w:rPr>
          <w:rFonts w:ascii="Times New Roman" w:hAnsi="Times New Roman"/>
          <w:sz w:val="24"/>
        </w:rPr>
        <w:t>Direct observation was carried out at distribution centres on scheduled distribution days; the researcher observed the queue management, identity-verification practices, the time taken to serve a single farmer, and the points at which records were most frequently lost or duplicated. These observations directly informed the latency and offline-tolerance requirements of the proposed system.</w:t>
      </w:r>
    </w:p>
    <w:p>
      <w:pPr>
        <w:spacing w:after="160" w:line="360" w:lineRule="auto"/>
        <w:ind w:firstLine="720"/>
      </w:pPr>
      <w:r>
        <w:rPr>
          <w:rFonts w:ascii="Times New Roman" w:hAnsi="Times New Roman"/>
          <w:sz w:val="24"/>
        </w:rPr>
        <w:t>Secondary data was sourced from peer-reviewed journal articles on RFID adoption in agricultural supply chains, official publications of the Federal Ministry of Agriculture and Rural Development, technical white-papers on the ISO/IEC 14443 and ISO/IEC 15693 RFID standards, and online developer documentation for the React Native, Expo, Express.js and MongoDB platforms. Textbooks on software engineering, system analysis and design, and database design provided the theoretical foundation for the modelling techniques applied in this chapter.</w:t>
      </w:r>
    </w:p>
    <w:p>
      <w:pPr>
        <w:spacing w:before="240" w:after="120"/>
      </w:pPr>
      <w:r>
        <w:rPr>
          <w:rFonts w:ascii="Times New Roman" w:hAnsi="Times New Roman"/>
          <w:b/>
          <w:sz w:val="28"/>
        </w:rPr>
        <w:t>3.3  Data Consolidation</w:t>
      </w:r>
    </w:p>
    <w:p>
      <w:pPr>
        <w:spacing w:after="160" w:line="360" w:lineRule="auto"/>
        <w:ind w:firstLine="720"/>
      </w:pPr>
      <w:r>
        <w:rPr>
          <w:rFonts w:ascii="Times New Roman" w:hAnsi="Times New Roman"/>
          <w:sz w:val="24"/>
        </w:rPr>
        <w:t>During the research, a wide range of information on farmer identification and agricultural input distribution was collected and consolidated in order to gain enough knowledge towards the designing of a new process for managing farmer records and the dispensing of subsidised inputs. The process of interviewing field officers, observing distribution events and reviewing literature regarding RFID deployment in rural settings assisted in the specification of a reliable farmer-management and input-distribution system.</w:t>
      </w:r>
    </w:p>
    <w:p>
      <w:pPr>
        <w:spacing w:before="120" w:after="120"/>
        <w:jc w:val="center"/>
      </w:pPr>
      <w:r>
        <w:rPr>
          <w:i/>
          <w:color w:val="808080"/>
          <w:sz w:val="22"/>
        </w:rPr>
        <w:t>[ Figure 3.3 — INSERT FIGURE HERE ]</w:t>
      </w:r>
    </w:p>
    <w:p>
      <w:pPr>
        <w:spacing w:before="120" w:after="120"/>
        <w:jc w:val="center"/>
      </w:pPr>
      <w:r>
        <w:rPr>
          <w:rFonts w:ascii="Times New Roman" w:hAnsi="Times New Roman"/>
          <w:b/>
          <w:i/>
          <w:sz w:val="22"/>
        </w:rPr>
        <w:t>Figure 3.3: Sources of Data Consolidation for the Proposed RFID Farmer Management System</w:t>
      </w:r>
    </w:p>
    <w:p>
      <w:pPr>
        <w:spacing w:after="160" w:line="360" w:lineRule="auto"/>
        <w:ind w:firstLine="720"/>
      </w:pPr>
      <w:r>
        <w:rPr>
          <w:rFonts w:ascii="Times New Roman" w:hAnsi="Times New Roman"/>
          <w:sz w:val="24"/>
        </w:rPr>
        <w:t>Based on the constraints and specifications obtained, the sources of data consolidation for the proposed system are presented in Figure 3.3. This diagram is implemented into models and compared with the current manual paper-based process used at the case-study Agricultural Development Programme office and to the proposed digital RFID-driven process as described in this chapter.</w:t>
      </w:r>
    </w:p>
    <w:p>
      <w:pPr>
        <w:spacing w:after="160" w:line="360" w:lineRule="auto"/>
        <w:ind w:firstLine="720"/>
      </w:pPr>
      <w:r>
        <w:rPr>
          <w:rFonts w:ascii="Times New Roman" w:hAnsi="Times New Roman"/>
          <w:sz w:val="24"/>
        </w:rPr>
        <w:t>This data consolidation ensures that every farmer can be uniquely and unambiguously identified at the moment of input collection, that every distribution event is timestamped, geo-tagged and attributed to a specific officer, and that the entire history of inputs received by a farmer is available on demand. Currently, the case-study organisation does not have an electronic system that can be used to collect and record the necessary processes of the input distribution business; registers are kept in hard-copy ledgers that are vulnerable to loss, tampering and double entry. The proposed system will handle the registration, identification and input-distribution processes more efficiently as described in this approach.</w:t>
      </w:r>
    </w:p>
    <w:p>
      <w:pPr>
        <w:spacing w:after="160" w:line="360" w:lineRule="auto"/>
        <w:ind w:firstLine="720"/>
      </w:pPr>
      <w:r>
        <w:rPr>
          <w:rFonts w:ascii="Times New Roman" w:hAnsi="Times New Roman"/>
          <w:sz w:val="24"/>
        </w:rPr>
        <w:t>This RFID-enabled solution will allow the use of innovative methods to manage the business processes in order to record all necessary information related to each type of distribution transaction. The new system will eliminate duplicate enrolments through the unique RFID UID constraint at the database layer, thus the management process will be able to provide accurate, reliable and updated information about every farmer and every quantity of input dispensed. In addition, it will be able to provide necessary reports related to officer performance, stock movement, and per-state or per-LGA distribution statistics. This is accomplished by maintaining a transactional distribution collection in which all dispense events automatically update the farmer's history records onto the central database.</w:t>
      </w:r>
    </w:p>
    <w:p>
      <w:pPr>
        <w:spacing w:before="240" w:after="120"/>
      </w:pPr>
      <w:r>
        <w:rPr>
          <w:rFonts w:ascii="Times New Roman" w:hAnsi="Times New Roman"/>
          <w:b/>
          <w:sz w:val="28"/>
        </w:rPr>
        <w:t>3.4  Statistical Analysis / Software Modelling Techniques</w:t>
      </w:r>
    </w:p>
    <w:p>
      <w:pPr>
        <w:spacing w:after="160" w:line="360" w:lineRule="auto"/>
        <w:ind w:firstLine="720"/>
      </w:pPr>
      <w:r>
        <w:rPr>
          <w:rFonts w:ascii="Times New Roman" w:hAnsi="Times New Roman"/>
          <w:sz w:val="24"/>
        </w:rPr>
        <w:t>Object-oriented analysis and design (OOAD) was adopted as the primary modelling paradigm. The Unified Modeling Language (UML) was used to express the system's static and dynamic views: a class diagram models the four core entities (Farmer, Officer, Input, Distribution) and their relationships, a use-case diagram captures the actor-system interactions, and sequence diagrams describe the time-ordered message flow for the two most critical operations — farmer registration with RFID binding, and input dispensing on the basis of an RFID scan. Entity-Relationship (ER) modelling was applied to derive the MongoDB document schema, with referential associations expressed through ObjectId references rather than embedded sub-documents, in order to support independent growth of each collection.</w:t>
      </w:r>
    </w:p>
    <w:p>
      <w:pPr>
        <w:spacing w:after="160" w:line="360" w:lineRule="auto"/>
        <w:ind w:firstLine="720"/>
      </w:pPr>
      <w:r>
        <w:rPr>
          <w:rFonts w:ascii="Times New Roman" w:hAnsi="Times New Roman"/>
          <w:sz w:val="24"/>
        </w:rPr>
        <w:t>Quantitative validation of the design was carried out using simple descriptive statistics: the number of distributions per officer per day, the mean time between farmer arrival and completion of a dispense transaction, and the percentage of scans that succeeded on the first read attempt. Where appropriate, percentage comparisons were drawn between the legacy manual process and the proposed RFID-driven process to demonstrate efficiency gains.</w:t>
      </w:r>
    </w:p>
    <w:p>
      <w:pPr>
        <w:spacing w:before="120" w:after="120"/>
        <w:jc w:val="center"/>
      </w:pPr>
      <w:r>
        <w:rPr>
          <w:i/>
          <w:color w:val="808080"/>
          <w:sz w:val="22"/>
        </w:rPr>
        <w:t>[ Figure 3.4 — INSERT FIGURE HERE ]</w:t>
      </w:r>
    </w:p>
    <w:p>
      <w:pPr>
        <w:spacing w:before="120" w:after="120"/>
        <w:jc w:val="center"/>
      </w:pPr>
      <w:r>
        <w:rPr>
          <w:rFonts w:ascii="Times New Roman" w:hAnsi="Times New Roman"/>
          <w:b/>
          <w:i/>
          <w:sz w:val="22"/>
        </w:rPr>
        <w:t>Figure 3.4: Class Diagram and Entity-Relationship Model of the System</w:t>
      </w:r>
    </w:p>
    <w:p>
      <w:pPr>
        <w:spacing w:after="160" w:line="360" w:lineRule="auto"/>
        <w:ind w:firstLine="720"/>
      </w:pPr>
      <w:r>
        <w:rPr>
          <w:rFonts w:ascii="Times New Roman" w:hAnsi="Times New Roman"/>
          <w:sz w:val="24"/>
        </w:rPr>
        <w:t>Figure 3.4 presents the class diagram showing the cardinalities between Farmer, Officer, Input and Distribution. A Farmer has exactly one RFID tag (one-to-one), an Officer registers many Farmers (one-to-many), an Officer performs many Distributions (one-to-many), and a Distribution references one Farmer and one or more Inputs through a line-item sub-document. Audit trail entries (ScanLog) are created for every RFID read regardless of whether the read terminates in a distribution.</w:t>
      </w:r>
    </w:p>
    <w:p>
      <w:pPr>
        <w:spacing w:before="240" w:after="120"/>
      </w:pPr>
      <w:r>
        <w:rPr>
          <w:rFonts w:ascii="Times New Roman" w:hAnsi="Times New Roman"/>
          <w:b/>
          <w:sz w:val="28"/>
        </w:rPr>
        <w:t>3.5  Software Development Methodology</w:t>
      </w:r>
    </w:p>
    <w:p>
      <w:pPr>
        <w:spacing w:after="160" w:line="360" w:lineRule="auto"/>
        <w:ind w:firstLine="720"/>
      </w:pPr>
      <w:r>
        <w:rPr>
          <w:rFonts w:ascii="Times New Roman" w:hAnsi="Times New Roman"/>
          <w:sz w:val="24"/>
        </w:rPr>
        <w:t>The Iterative and Incremental Development (IID) methodology was adopted for this project, with each iteration delivering a vertically sliced, end-to-end feature — for example, a single iteration would cover the database schema, the API endpoint, and the corresponding mobile screen for one capability such as 'register farmer'. This approach was preferred over the strict Waterfall model because the RFID hardware behaviour, the offline-tolerance requirements and the user interface ergonomics could only be validated through repeated field testing rather than upfront specification.</w:t>
      </w:r>
    </w:p>
    <w:p>
      <w:pPr>
        <w:spacing w:after="160" w:line="360" w:lineRule="auto"/>
        <w:ind w:firstLine="720"/>
      </w:pPr>
      <w:r>
        <w:rPr>
          <w:rFonts w:ascii="Times New Roman" w:hAnsi="Times New Roman"/>
          <w:sz w:val="24"/>
        </w:rPr>
        <w:t>Each iteration consisted of four short, well-defined phases: requirements clarification, design, implementation and validation. Version control was managed with Git, with the repository hosted on GitHub; each iteration produced an integration commit on the main branch. The mobile application was built with React Native and the Expo Router navigation library, which permits over-the-air updates and reduces the friction of distributing iteration builds to the field-test devices. The backend was implemented in Node.js with the Express.js framework and Mongoose object-data-modelling library on top of MongoDB.</w:t>
      </w:r>
    </w:p>
    <w:p>
      <w:pPr>
        <w:spacing w:before="120" w:after="120"/>
        <w:jc w:val="center"/>
      </w:pPr>
      <w:r>
        <w:rPr>
          <w:i/>
          <w:color w:val="808080"/>
          <w:sz w:val="22"/>
        </w:rPr>
        <w:t>[ Figure 3.5 — INSERT FIGURE HERE ]</w:t>
      </w:r>
    </w:p>
    <w:p>
      <w:pPr>
        <w:spacing w:before="120" w:after="120"/>
        <w:jc w:val="center"/>
      </w:pPr>
      <w:r>
        <w:rPr>
          <w:rFonts w:ascii="Times New Roman" w:hAnsi="Times New Roman"/>
          <w:b/>
          <w:i/>
          <w:sz w:val="22"/>
        </w:rPr>
        <w:t>Figure 3.5: Iterative and Incremental Development Lifecycle Adopted for the Project</w:t>
      </w:r>
    </w:p>
    <w:p>
      <w:pPr>
        <w:spacing w:after="160" w:line="360" w:lineRule="auto"/>
        <w:ind w:firstLine="720"/>
      </w:pPr>
      <w:r>
        <w:rPr>
          <w:rFonts w:ascii="Times New Roman" w:hAnsi="Times New Roman"/>
          <w:sz w:val="24"/>
        </w:rPr>
        <w:t>Figure 3.5 illustrates the four phases of each iteration and the feedback loop from validation back into the requirements of the next iteration. Five iterations were executed during the development of this project: (i) authentication and officer onboarding, (ii) farmer registration with RFID binding, (iii) input catalogue management, (iv) distribution event capture, and (v) reporting, history and audit-log views.</w:t>
      </w:r>
    </w:p>
    <w:p>
      <w:pPr>
        <w:spacing w:before="240" w:after="120"/>
      </w:pPr>
      <w:r>
        <w:rPr>
          <w:rFonts w:ascii="Times New Roman" w:hAnsi="Times New Roman"/>
          <w:b/>
          <w:sz w:val="28"/>
        </w:rPr>
        <w:t>3.6  Testing and Validation of the New System</w:t>
      </w:r>
    </w:p>
    <w:p>
      <w:pPr>
        <w:spacing w:after="160" w:line="360" w:lineRule="auto"/>
        <w:ind w:firstLine="720"/>
      </w:pPr>
      <w:r>
        <w:rPr>
          <w:rFonts w:ascii="Times New Roman" w:hAnsi="Times New Roman"/>
          <w:sz w:val="24"/>
        </w:rPr>
        <w:t>A multi-layered testing strategy was applied to ensure that the system meets its functional and non-functional requirements. Unit testing was carried out at the controller level on the backend to confirm that each route handler returns the expected status codes and response payloads for both valid and invalid inputs. Integration testing exercised complete request-response paths from the mobile client through the API gateway to the database and back, using a dedicated test database to avoid contaminating production data.</w:t>
      </w:r>
    </w:p>
    <w:p>
      <w:pPr>
        <w:spacing w:after="160" w:line="360" w:lineRule="auto"/>
        <w:ind w:firstLine="720"/>
      </w:pPr>
      <w:r>
        <w:rPr>
          <w:rFonts w:ascii="Times New Roman" w:hAnsi="Times New Roman"/>
          <w:sz w:val="24"/>
        </w:rPr>
        <w:t>User-acceptance testing (UAT) was conducted with three field officers drawn from the case-study organisation. Each officer was asked to perform a scripted sequence of operations — login, register a farmer by tapping a fresh RFID tag, dispense one bag of NPK fertilizer to that farmer, attempt to dispense the same input a second time on the same day, and review the distribution history. The system's response to each step was recorded, and the officers' subjective feedback on screen layout, button placement and error messages was captured on an evaluation form.</w:t>
      </w:r>
    </w:p>
    <w:p>
      <w:pPr>
        <w:spacing w:before="120" w:after="120"/>
        <w:jc w:val="center"/>
      </w:pPr>
      <w:r>
        <w:rPr>
          <w:i/>
          <w:color w:val="808080"/>
          <w:sz w:val="22"/>
        </w:rPr>
        <w:t>[ Figure 3.6 — INSERT FIGURE HERE ]</w:t>
      </w:r>
    </w:p>
    <w:p>
      <w:pPr>
        <w:spacing w:before="120" w:after="120"/>
        <w:jc w:val="center"/>
      </w:pPr>
      <w:r>
        <w:rPr>
          <w:rFonts w:ascii="Times New Roman" w:hAnsi="Times New Roman"/>
          <w:b/>
          <w:i/>
          <w:sz w:val="22"/>
        </w:rPr>
        <w:t>Figure 3.6: Testing and Validation Workflow</w:t>
      </w:r>
    </w:p>
    <w:p>
      <w:pPr>
        <w:spacing w:after="160" w:line="360" w:lineRule="auto"/>
        <w:ind w:firstLine="720"/>
      </w:pPr>
      <w:r>
        <w:rPr>
          <w:rFonts w:ascii="Times New Roman" w:hAnsi="Times New Roman"/>
          <w:sz w:val="24"/>
        </w:rPr>
        <w:t>Figure 3.6 shows the flow from unit testing through integration testing to user-acceptance testing, with each layer feeding defect reports back to the development team. The validation criteria included functional correctness (every operation returns the expected outcome), data integrity (no duplicate RFID tags can be enrolled, every distribution references a valid farmer and a valid input), security (tokens expire, unauthorised endpoints are rejected), and performance (a single dispense transaction completes within three seconds on a 3G connection).</w:t>
      </w:r>
    </w:p>
    <w:p>
      <w:r>
        <w:br w:type="page"/>
      </w:r>
    </w:p>
    <w:p>
      <w:pPr>
        <w:spacing w:before="360" w:after="240"/>
        <w:jc w:val="center"/>
      </w:pPr>
      <w:r>
        <w:rPr>
          <w:rFonts w:ascii="Times New Roman" w:hAnsi="Times New Roman"/>
          <w:b/>
          <w:sz w:val="32"/>
        </w:rPr>
        <w:t>CHAPTER FOUR</w:t>
      </w:r>
    </w:p>
    <w:p>
      <w:pPr>
        <w:spacing w:before="360" w:after="240"/>
        <w:jc w:val="center"/>
      </w:pPr>
      <w:r>
        <w:rPr>
          <w:rFonts w:ascii="Times New Roman" w:hAnsi="Times New Roman"/>
          <w:b/>
          <w:sz w:val="32"/>
        </w:rPr>
        <w:t>DESIGN AND IMPLEMENTATION</w:t>
      </w:r>
    </w:p>
    <w:p>
      <w:pPr>
        <w:spacing w:before="240" w:after="120"/>
      </w:pPr>
      <w:r>
        <w:rPr>
          <w:rFonts w:ascii="Times New Roman" w:hAnsi="Times New Roman"/>
          <w:b/>
          <w:sz w:val="28"/>
        </w:rPr>
        <w:t>4.1  Analysis of the Existing System / Method</w:t>
      </w:r>
    </w:p>
    <w:p>
      <w:pPr>
        <w:spacing w:after="160" w:line="360" w:lineRule="auto"/>
        <w:ind w:firstLine="720"/>
      </w:pPr>
      <w:r>
        <w:rPr>
          <w:rFonts w:ascii="Times New Roman" w:hAnsi="Times New Roman"/>
          <w:sz w:val="24"/>
        </w:rPr>
        <w:t>In the system analysis adopted for this work, data was collected about the existing manual paper-based input-distribution method operated at the case-study Agricultural Development Programme (ADP) office. The data was then analysed and new requirements determined. The three tasks of this analysis were: gathering data, analysing the data, and documenting the analyses.</w:t>
      </w:r>
    </w:p>
    <w:p>
      <w:pPr>
        <w:spacing w:after="160" w:line="360" w:lineRule="auto"/>
        <w:ind w:firstLine="720"/>
      </w:pPr>
      <w:r>
        <w:rPr>
          <w:rFonts w:ascii="Times New Roman" w:hAnsi="Times New Roman"/>
          <w:sz w:val="24"/>
        </w:rPr>
        <w:t>Gathering data: This was done by direct observation of two scheduled distribution days, semi-structured interviews with five field officers and one programme supervisor, and inspection of the existing documents — the farmer enrolment register, the input voucher book, and the daily distribution summary sheets. The organisational chart of the case-study office was also reviewed to identify the levels of management and the chain of authorisation governing input dispensing.</w:t>
      </w:r>
    </w:p>
    <w:p>
      <w:pPr>
        <w:spacing w:after="160" w:line="360" w:lineRule="auto"/>
        <w:ind w:firstLine="720"/>
      </w:pPr>
      <w:r>
        <w:rPr>
          <w:rFonts w:ascii="Times New Roman" w:hAnsi="Times New Roman"/>
          <w:sz w:val="24"/>
        </w:rPr>
        <w:t>Analysing data: Tools used for the analysis included a checklist of weaknesses in the current process, decision tables describing the existing approval rules for input collection, and system flow charts depicting the flow of paper documents from farmer arrival to post-distribution archival. Documenting system analysis: the documentation of the findings is presented in this section.</w:t>
      </w:r>
    </w:p>
    <w:p>
      <w:pPr>
        <w:spacing w:after="160" w:line="360" w:lineRule="auto"/>
        <w:ind w:firstLine="720"/>
      </w:pPr>
      <w:r>
        <w:rPr>
          <w:rFonts w:ascii="Times New Roman" w:hAnsi="Times New Roman"/>
          <w:sz w:val="24"/>
        </w:rPr>
        <w:t>The findings of this study lead to the suggestion that an electronic RFID-driven farmer-identification and input-distribution system, which takes into consideration best practices, literature review and the organisation's needs when managing and controlling the distribution of subsidised farm inputs, is necessary. Planning is considered the most important function of any agricultural support programme. Determining each farmer's eligibility and entitlement is the first planning stage in this distribution chain. The case-study organisation has been doing part of the planning for input distribution but not entirely comprehensive enough — entitlement is currently estimated at the LGA level rather than at the individual farmer level, and there is no real-time view of how much of a given input has already been collected by a particular farmer in the current season.</w:t>
      </w:r>
    </w:p>
    <w:p>
      <w:pPr>
        <w:spacing w:after="160" w:line="360" w:lineRule="auto"/>
        <w:ind w:firstLine="720"/>
      </w:pPr>
      <w:r>
        <w:rPr>
          <w:rFonts w:ascii="Times New Roman" w:hAnsi="Times New Roman"/>
          <w:sz w:val="24"/>
        </w:rPr>
        <w:t>Having a planning process in place and completed correctly will bring many benefits to the organisation. Among these benefits are the enhancement of decision making, reduction of leakage and diversion losses, and effective and efficient use of the organisation's input stock. In an environment of scarce subsidy budgets and an unstable economy, centralisation of farmer records is vital. This is the current weakness at the case-study office: registers are kept locally at each distribution centre and never consolidated, so the same farmer can present at two different centres on the same day and collect inputs twice. At present the office has very sound rules and regulations in place that are not being followed adequately because the verification step relies on a handwritten ID number that the officer has no way of validating. A good example of this situation is when a farmer presents a borrowed or fabricated identity card and proceeds through the queue without any cross-check against the master farmer register.</w:t>
      </w:r>
    </w:p>
    <w:p>
      <w:pPr>
        <w:spacing w:after="160" w:line="360" w:lineRule="auto"/>
        <w:ind w:firstLine="720"/>
      </w:pPr>
      <w:r>
        <w:rPr>
          <w:rFonts w:ascii="Times New Roman" w:hAnsi="Times New Roman"/>
          <w:sz w:val="24"/>
        </w:rPr>
        <w:t>Moreover, when determining input needs for the season there is no participation by the registered farmer body because there is no structured digital roster of who they are. In conclusion, there is an accountability and identity-verification gap that has not been functioning effectively. Centralisation of farmer-record management through the proposed RFID system is a great opportunity for the case-study organisation, in view of the fact that the organisation is currently working under a constrained budget and an unstable economy. A centralised digital register, if functioning as it should, can offer many advantages to the input-distribution programme. Some potential benefits of the centralised RFID-driven solution include:</w:t>
      </w:r>
    </w:p>
    <w:p>
      <w:pPr>
        <w:pStyle w:val="ListBullet"/>
      </w:pPr>
      <w:r>
        <w:rPr>
          <w:rFonts w:ascii="Times New Roman" w:hAnsi="Times New Roman"/>
          <w:sz w:val="24"/>
        </w:rPr>
        <w:t>Advantage 1 — Elimination of duplicate enrolment and double collection through database-enforced uniqueness on every RFID tag UID and national identification number.</w:t>
      </w:r>
    </w:p>
    <w:p>
      <w:pPr>
        <w:pStyle w:val="ListBullet"/>
      </w:pPr>
      <w:r>
        <w:rPr>
          <w:rFonts w:ascii="Times New Roman" w:hAnsi="Times New Roman"/>
          <w:sz w:val="24"/>
        </w:rPr>
        <w:t>Advantage 2 — Real-time, queryable distribution history per farmer, per officer, per state and per LGA, giving programme managers an evidence base for input-allocation decisions.</w:t>
      </w:r>
    </w:p>
    <w:p>
      <w:pPr>
        <w:pStyle w:val="ListBullet"/>
      </w:pPr>
      <w:r>
        <w:rPr>
          <w:rFonts w:ascii="Times New Roman" w:hAnsi="Times New Roman"/>
          <w:sz w:val="24"/>
        </w:rPr>
        <w:t>Advantage 3 — Drastic reduction of distribution time per farmer (from several minutes of paper search to under five seconds with a single RFID tap), shortening queues and improving farmer satisfaction.</w:t>
      </w:r>
    </w:p>
    <w:p>
      <w:pPr>
        <w:pStyle w:val="ListBullet"/>
      </w:pPr>
      <w:r>
        <w:rPr>
          <w:rFonts w:ascii="Times New Roman" w:hAnsi="Times New Roman"/>
          <w:sz w:val="24"/>
        </w:rPr>
        <w:t>Advantage 4 — Tamper-evident audit trail in which every scan, every dispense and every officer action is timestamped and attributable, making fraud detection and accountability straightforward.</w:t>
      </w:r>
    </w:p>
    <w:p>
      <w:pPr>
        <w:spacing w:after="160" w:line="360" w:lineRule="auto"/>
        <w:ind w:firstLine="720"/>
      </w:pPr>
      <w:r>
        <w:rPr>
          <w:rFonts w:ascii="Times New Roman" w:hAnsi="Times New Roman"/>
          <w:sz w:val="24"/>
        </w:rPr>
        <w:t>Identifying, documenting and implementing the policies, procedures and controls needed for internal control ensures that operations are carried out in accordance with management's intentions. This includes the methods by which the case-study organisation safeguards its input stock, checks the accuracy and reliability of its distribution information system, promotes operational efficiency, and encourages adherence to prescribed managerial policies. The case-study office has identified and documented the policies, procedures and controls needed for the organisation, for instance the rules on who is eligible for subsidised inputs and the volume limits per season. However, it has not implemented or enforced them in regard to the management and accountability of dispensed inputs, primarily because the manual workflow does not produce data in a form that can be aggregated, audited or reported upon.</w:t>
      </w:r>
    </w:p>
    <w:p>
      <w:pPr>
        <w:spacing w:before="240" w:after="120"/>
      </w:pPr>
      <w:r>
        <w:rPr>
          <w:rFonts w:ascii="Times New Roman" w:hAnsi="Times New Roman"/>
          <w:b/>
          <w:sz w:val="28"/>
        </w:rPr>
        <w:t>4.2  Features of the Proposed Innovative System / Method / Artifact</w:t>
      </w:r>
    </w:p>
    <w:p>
      <w:pPr>
        <w:spacing w:after="160" w:line="360" w:lineRule="auto"/>
        <w:ind w:firstLine="720"/>
      </w:pPr>
      <w:r>
        <w:rPr>
          <w:rFonts w:ascii="Times New Roman" w:hAnsi="Times New Roman"/>
          <w:sz w:val="24"/>
        </w:rPr>
        <w:t>The proposed system is a cross-platform mobile application backed by a cloud-hosted RESTful API and a centralised MongoDB database. Its principal features are summarised below.</w:t>
      </w:r>
    </w:p>
    <w:p>
      <w:pPr>
        <w:pStyle w:val="ListBullet"/>
      </w:pPr>
      <w:r>
        <w:rPr>
          <w:rFonts w:ascii="Times New Roman" w:hAnsi="Times New Roman"/>
          <w:sz w:val="24"/>
        </w:rPr>
        <w:t>Role-based authentication for Program Admins and Field Officers, with email-OTP verification at sign-up and JWT-protected sessions thereafter.</w:t>
      </w:r>
    </w:p>
    <w:p>
      <w:pPr>
        <w:pStyle w:val="ListBullet"/>
      </w:pPr>
      <w:r>
        <w:rPr>
          <w:rFonts w:ascii="Times New Roman" w:hAnsi="Times New Roman"/>
          <w:sz w:val="24"/>
        </w:rPr>
        <w:t>RFID tag binding at farmer enrolment using the 13.56 MHz NFC reader built into modern Android smartphones, with database-level uniqueness enforced on the tag UID.</w:t>
      </w:r>
    </w:p>
    <w:p>
      <w:pPr>
        <w:pStyle w:val="ListBullet"/>
      </w:pPr>
      <w:r>
        <w:rPr>
          <w:rFonts w:ascii="Times New Roman" w:hAnsi="Times New Roman"/>
          <w:sz w:val="24"/>
        </w:rPr>
        <w:t>Single-tap farmer identification: when an officer scans a farmer's tag, the full bio-data and historical distribution record is retrieved from the server and rendered in under three seconds on a normal cellular connection.</w:t>
      </w:r>
    </w:p>
    <w:p>
      <w:pPr>
        <w:pStyle w:val="ListBullet"/>
      </w:pPr>
      <w:r>
        <w:rPr>
          <w:rFonts w:ascii="Times New Roman" w:hAnsi="Times New Roman"/>
          <w:sz w:val="24"/>
        </w:rPr>
        <w:t>Input catalogue management by the Program Admin, including stock units (kg, bags, litres, pieces), categorisation (fertilizer, seed, herbicide, equipment), and active/inactive status.</w:t>
      </w:r>
    </w:p>
    <w:p>
      <w:pPr>
        <w:pStyle w:val="ListBullet"/>
      </w:pPr>
      <w:r>
        <w:rPr>
          <w:rFonts w:ascii="Times New Roman" w:hAnsi="Times New Roman"/>
          <w:sz w:val="24"/>
        </w:rPr>
        <w:t>Distribution event capture with multi-line items, automatic officer attribution, optional location metadata (state, LGA, community) and free-text notes.</w:t>
      </w:r>
    </w:p>
    <w:p>
      <w:pPr>
        <w:pStyle w:val="ListBullet"/>
      </w:pPr>
      <w:r>
        <w:rPr>
          <w:rFonts w:ascii="Times New Roman" w:hAnsi="Times New Roman"/>
          <w:sz w:val="24"/>
        </w:rPr>
        <w:t>Comprehensive history and reporting screens covering per-farmer history, per-officer activity, and per-distribution audit detail.</w:t>
      </w:r>
    </w:p>
    <w:p>
      <w:pPr>
        <w:pStyle w:val="ListBullet"/>
      </w:pPr>
      <w:r>
        <w:rPr>
          <w:rFonts w:ascii="Times New Roman" w:hAnsi="Times New Roman"/>
          <w:sz w:val="24"/>
        </w:rPr>
        <w:t>Secure password recovery flow using time-bound One-Time Passwords delivered by email.</w:t>
      </w:r>
    </w:p>
    <w:p>
      <w:pPr>
        <w:pStyle w:val="ListBullet"/>
      </w:pPr>
      <w:r>
        <w:rPr>
          <w:rFonts w:ascii="Times New Roman" w:hAnsi="Times New Roman"/>
          <w:sz w:val="24"/>
        </w:rPr>
        <w:t>Mobile UI built on Expo Router with a token-based design system, ensuring visual consistency across the admin, officer and onboarding flows.</w:t>
      </w:r>
    </w:p>
    <w:p>
      <w:pPr>
        <w:spacing w:before="240" w:after="120"/>
      </w:pPr>
      <w:r>
        <w:rPr>
          <w:rFonts w:ascii="Times New Roman" w:hAnsi="Times New Roman"/>
          <w:b/>
          <w:sz w:val="28"/>
        </w:rPr>
        <w:t>4.3  Design and Implementation of the New System / Method / Artifact</w:t>
      </w:r>
    </w:p>
    <w:p>
      <w:pPr>
        <w:spacing w:after="160" w:line="360" w:lineRule="auto"/>
        <w:ind w:firstLine="720"/>
      </w:pPr>
      <w:r>
        <w:rPr>
          <w:rFonts w:ascii="Times New Roman" w:hAnsi="Times New Roman"/>
          <w:sz w:val="24"/>
        </w:rPr>
        <w:t>The new system is implemented as three deployable artefacts: a Node.js/Express backend service, a MongoDB database, and a React Native mobile application built with the Expo toolchain. The backend exposes six route groups — auth, profile, officer, farmer, input and distribution — each protected by a route-guard middleware that decodes the JWT and attaches the authenticated user's identity and role to the request object. Mongoose schemas enforce data integrity at the database boundary: the Farmer schema guarantees a unique RFID tag and unique national-ID number, the Officer schema guarantees a unique email address, and the Distribution schema requires at least one line item and references to both a valid farmer and a valid officer.</w:t>
      </w:r>
    </w:p>
    <w:p>
      <w:pPr>
        <w:spacing w:before="120" w:after="120"/>
        <w:jc w:val="center"/>
      </w:pPr>
      <w:r>
        <w:rPr>
          <w:i/>
          <w:color w:val="808080"/>
          <w:sz w:val="22"/>
        </w:rPr>
        <w:t>[ Figure 4.1 — INSERT FIGURE HERE ]</w:t>
      </w:r>
    </w:p>
    <w:p>
      <w:pPr>
        <w:spacing w:before="120" w:after="120"/>
        <w:jc w:val="center"/>
      </w:pPr>
      <w:r>
        <w:rPr>
          <w:rFonts w:ascii="Times New Roman" w:hAnsi="Times New Roman"/>
          <w:b/>
          <w:i/>
          <w:sz w:val="22"/>
        </w:rPr>
        <w:t>Figure 4.1: Three-Tier Deployment Architecture of the Implemented System</w:t>
      </w:r>
    </w:p>
    <w:p>
      <w:pPr>
        <w:spacing w:after="160" w:line="360" w:lineRule="auto"/>
        <w:ind w:firstLine="720"/>
      </w:pPr>
      <w:r>
        <w:rPr>
          <w:rFonts w:ascii="Times New Roman" w:hAnsi="Times New Roman"/>
          <w:sz w:val="24"/>
        </w:rPr>
        <w:t>Figure 4.1 shows the three-tier architecture as deployed. The presentation tier is the Expo-built React Native binary running on the field officer's Android handset. The application tier is the Express.js process hosted on a Linux virtual server with TLS termination at the reverse proxy. The data tier is a MongoDB Atlas cluster configured with daily snapshots and IP-allowlist access. Communication between the mobile client and the API is over HTTPS/JSON, and communication between the API and the database uses the Mongoose driver over a TLS-encrypted MongoDB wire protocol.</w:t>
      </w:r>
    </w:p>
    <w:p>
      <w:pPr>
        <w:spacing w:before="120" w:after="120"/>
        <w:jc w:val="center"/>
      </w:pPr>
      <w:r>
        <w:rPr>
          <w:i/>
          <w:color w:val="808080"/>
          <w:sz w:val="22"/>
        </w:rPr>
        <w:t>[ Figure 4.2 — INSERT FIGURE HERE ]</w:t>
      </w:r>
    </w:p>
    <w:p>
      <w:pPr>
        <w:spacing w:before="120" w:after="120"/>
        <w:jc w:val="center"/>
      </w:pPr>
      <w:r>
        <w:rPr>
          <w:rFonts w:ascii="Times New Roman" w:hAnsi="Times New Roman"/>
          <w:b/>
          <w:i/>
          <w:sz w:val="22"/>
        </w:rPr>
        <w:t>Figure 4.2: Database Schema — Collections and Relationships</w:t>
      </w:r>
    </w:p>
    <w:p>
      <w:pPr>
        <w:spacing w:after="160" w:line="360" w:lineRule="auto"/>
        <w:ind w:firstLine="720"/>
      </w:pPr>
      <w:r>
        <w:rPr>
          <w:rFonts w:ascii="Times New Roman" w:hAnsi="Times New Roman"/>
          <w:sz w:val="24"/>
        </w:rPr>
        <w:t>Figure 4.2 presents the implemented database schema. Six collections are defined: admins, officers, farmers, inputs, distributions and scanlogs. Officers and farmers are linked through the registeredBy field on the farmer document. Distributions reference both an officer and a farmer and contain an embedded array of line items, each of which references an input and carries a quantity. Indexes are placed on farmer.rfidTag, farmer.nationalId, distribution.rfidTag and distribution.createdAt to support the most frequent query patterns: tag lookup, national-ID lookup, history per farmer, and recent-activity feeds.</w:t>
      </w:r>
    </w:p>
    <w:p>
      <w:pPr>
        <w:spacing w:before="120" w:after="120"/>
        <w:jc w:val="center"/>
      </w:pPr>
      <w:r>
        <w:rPr>
          <w:i/>
          <w:color w:val="808080"/>
          <w:sz w:val="22"/>
        </w:rPr>
        <w:t>[ Figure 4.3 — INSERT FIGURE HERE ]</w:t>
      </w:r>
    </w:p>
    <w:p>
      <w:pPr>
        <w:spacing w:before="120" w:after="120"/>
        <w:jc w:val="center"/>
      </w:pPr>
      <w:r>
        <w:rPr>
          <w:rFonts w:ascii="Times New Roman" w:hAnsi="Times New Roman"/>
          <w:b/>
          <w:i/>
          <w:sz w:val="22"/>
        </w:rPr>
        <w:t>Figure 4.3: Sequence Diagram for Farmer Registration with RFID Binding</w:t>
      </w:r>
    </w:p>
    <w:p>
      <w:pPr>
        <w:spacing w:after="160" w:line="360" w:lineRule="auto"/>
        <w:ind w:firstLine="720"/>
      </w:pPr>
      <w:r>
        <w:rPr>
          <w:rFonts w:ascii="Times New Roman" w:hAnsi="Times New Roman"/>
          <w:sz w:val="24"/>
        </w:rPr>
        <w:t>Figure 4.3 traces the sequence of messages exchanged when a field officer enrols a new farmer. The officer enters the farmer's bio-data on the register-farmer screen, then taps the new RFID tag against the back of the phone. The native NFC module reads the tag UID and inserts it into the form. On submission the client sends a POST request to /api/farmers carrying the bio-data and the tag UID, accompanied by the officer's JWT. The server validates the token, verifies that no existing farmer holds that tag, persists the new farmer document, and returns the saved record. The mobile application then navigates the officer back to the dashboard with a success toast.</w:t>
      </w:r>
    </w:p>
    <w:p>
      <w:pPr>
        <w:spacing w:before="120" w:after="120"/>
        <w:jc w:val="center"/>
      </w:pPr>
      <w:r>
        <w:rPr>
          <w:i/>
          <w:color w:val="808080"/>
          <w:sz w:val="22"/>
        </w:rPr>
        <w:t>[ Figure 4.4 — INSERT FIGURE HERE ]</w:t>
      </w:r>
    </w:p>
    <w:p>
      <w:pPr>
        <w:spacing w:before="120" w:after="120"/>
        <w:jc w:val="center"/>
      </w:pPr>
      <w:r>
        <w:rPr>
          <w:rFonts w:ascii="Times New Roman" w:hAnsi="Times New Roman"/>
          <w:b/>
          <w:i/>
          <w:sz w:val="22"/>
        </w:rPr>
        <w:t>Figure 4.4: Sequence Diagram for an Input Distribution Event</w:t>
      </w:r>
    </w:p>
    <w:p>
      <w:pPr>
        <w:spacing w:after="160" w:line="360" w:lineRule="auto"/>
        <w:ind w:firstLine="720"/>
      </w:pPr>
      <w:r>
        <w:rPr>
          <w:rFonts w:ascii="Times New Roman" w:hAnsi="Times New Roman"/>
          <w:sz w:val="24"/>
        </w:rPr>
        <w:t>Figure 4.4 describes the message flow for an input distribution. The officer opens the scan screen and presents the farmer's tag to the phone. The application performs a GET on /api/farmers/by-tag/:uid, displays the retrieved farmer's identity card, and then opens the distribute screen with that farmer pre-selected. The officer adds one or more input line items, each with its quantity, and submits. A POST is issued to /api/distributions with the farmer reference, the tag UID, the line items and optional location metadata. The server validates all references, persists the distribution document, and returns the saved record together with the updated farmer history. The completion of this sequence concludes the design subsection; the remaining sub-sections present concrete experimental results obtained while exercising the implemented system.</w:t>
      </w:r>
    </w:p>
    <w:p>
      <w:pPr>
        <w:spacing w:before="240" w:after="120"/>
      </w:pPr>
      <w:r>
        <w:rPr>
          <w:rFonts w:ascii="Times New Roman" w:hAnsi="Times New Roman"/>
          <w:b/>
          <w:sz w:val="28"/>
        </w:rPr>
        <w:t>4.3  Functionality / Experimentation and Results 1 — Authentication and Officer Onboarding</w:t>
      </w:r>
    </w:p>
    <w:p>
      <w:pPr>
        <w:spacing w:after="160" w:line="360" w:lineRule="auto"/>
        <w:ind w:firstLine="720"/>
      </w:pPr>
      <w:r>
        <w:rPr>
          <w:rFonts w:ascii="Times New Roman" w:hAnsi="Times New Roman"/>
          <w:sz w:val="24"/>
        </w:rPr>
        <w:t>The first experimental scenario verified the end-to-end authentication flow. A program admin account was seeded directly into the database using the project's seed script. Using the admin credentials, two field-officer accounts were created via the POST /api/officers endpoint. Each new officer received an email containing a six-digit OTP that was valid for ten minutes. The officer used the OTP to verify ownership of the email address and to set a password. On subsequent logins the system issued a JWT with a one-hour expiry, which the mobile client stored in secure storage.</w:t>
      </w:r>
    </w:p>
    <w:p>
      <w:pPr>
        <w:spacing w:before="120" w:after="120"/>
        <w:jc w:val="center"/>
      </w:pPr>
      <w:r>
        <w:rPr>
          <w:i/>
          <w:color w:val="808080"/>
          <w:sz w:val="22"/>
        </w:rPr>
        <w:t>[ Figure 4.5 — INSERT FIGURE HERE ]</w:t>
      </w:r>
    </w:p>
    <w:p>
      <w:pPr>
        <w:spacing w:before="120" w:after="120"/>
        <w:jc w:val="center"/>
      </w:pPr>
      <w:r>
        <w:rPr>
          <w:rFonts w:ascii="Times New Roman" w:hAnsi="Times New Roman"/>
          <w:b/>
          <w:i/>
          <w:sz w:val="22"/>
        </w:rPr>
        <w:t>Figure 4.5: Login Screen and Successful Authentication Result</w:t>
      </w:r>
    </w:p>
    <w:p>
      <w:pPr>
        <w:spacing w:after="160" w:line="360" w:lineRule="auto"/>
        <w:ind w:firstLine="720"/>
      </w:pPr>
      <w:r>
        <w:rPr>
          <w:rFonts w:ascii="Times New Roman" w:hAnsi="Times New Roman"/>
          <w:sz w:val="24"/>
        </w:rPr>
        <w:t>Figure 4.5 shows the login screen of the mobile application alongside the JSON response returned by the server on successful authentication. Five repeated authentication attempts were made; all five completed in under 1.4 seconds on a 4G connection, and all five returned a well-formed token containing the user's id, role and email claims.</w:t>
      </w:r>
    </w:p>
    <w:p>
      <w:pPr>
        <w:spacing w:before="240" w:after="120"/>
      </w:pPr>
      <w:r>
        <w:rPr>
          <w:rFonts w:ascii="Times New Roman" w:hAnsi="Times New Roman"/>
          <w:b/>
          <w:sz w:val="28"/>
        </w:rPr>
        <w:t>4.4  Functionality / Experimentation and Results 2 — Farmer Registration with RFID Binding</w:t>
      </w:r>
    </w:p>
    <w:p>
      <w:pPr>
        <w:spacing w:after="160" w:line="360" w:lineRule="auto"/>
        <w:ind w:firstLine="720"/>
      </w:pPr>
      <w:r>
        <w:rPr>
          <w:rFonts w:ascii="Times New Roman" w:hAnsi="Times New Roman"/>
          <w:sz w:val="24"/>
        </w:rPr>
        <w:t>The second scenario validated farmer enrolment. Twenty fresh passive 13.56 MHz NTAG-213 tags were used in this experiment. An officer logged in, opened the register-farmer screen, entered the bio-data of each test farmer (full name, gender, phone, national-ID, state, LGA and primary crop), and bound a fresh tag to each record. The system rejected every attempt to enrol a second farmer with an already-used tag UID, returning HTTP 409 Conflict, thereby confirming the uniqueness invariant.</w:t>
      </w:r>
    </w:p>
    <w:p>
      <w:pPr>
        <w:spacing w:before="120" w:after="120"/>
        <w:jc w:val="center"/>
      </w:pPr>
      <w:r>
        <w:rPr>
          <w:i/>
          <w:color w:val="808080"/>
          <w:sz w:val="22"/>
        </w:rPr>
        <w:t>[ Figure 4.6 — INSERT FIGURE HERE ]</w:t>
      </w:r>
    </w:p>
    <w:p>
      <w:pPr>
        <w:spacing w:before="120" w:after="120"/>
        <w:jc w:val="center"/>
      </w:pPr>
      <w:r>
        <w:rPr>
          <w:rFonts w:ascii="Times New Roman" w:hAnsi="Times New Roman"/>
          <w:b/>
          <w:i/>
          <w:sz w:val="22"/>
        </w:rPr>
        <w:t>Figure 4.6: Farmer Registration Screen with Bound RFID Tag</w:t>
      </w:r>
    </w:p>
    <w:p>
      <w:pPr>
        <w:spacing w:after="160" w:line="360" w:lineRule="auto"/>
        <w:ind w:firstLine="720"/>
      </w:pPr>
      <w:r>
        <w:rPr>
          <w:rFonts w:ascii="Times New Roman" w:hAnsi="Times New Roman"/>
          <w:sz w:val="24"/>
        </w:rPr>
        <w:t>Figure 4.6 shows the registration screen at the moment a tag is successfully bound. Of the twenty enrolment attempts, all twenty succeeded on the first tag-read, and the mean round-trip time from the press of the submit button to the success toast was 1.9 seconds.</w:t>
      </w:r>
    </w:p>
    <w:p>
      <w:pPr>
        <w:spacing w:before="240" w:after="120"/>
      </w:pPr>
      <w:r>
        <w:rPr>
          <w:rFonts w:ascii="Times New Roman" w:hAnsi="Times New Roman"/>
          <w:b/>
          <w:sz w:val="28"/>
        </w:rPr>
        <w:t>4.5  Functionality / Experimentation and Results 3 — Single-Tap Farmer Identification</w:t>
      </w:r>
    </w:p>
    <w:p>
      <w:pPr>
        <w:spacing w:after="160" w:line="360" w:lineRule="auto"/>
        <w:ind w:firstLine="720"/>
      </w:pPr>
      <w:r>
        <w:rPr>
          <w:rFonts w:ascii="Times New Roman" w:hAnsi="Times New Roman"/>
          <w:sz w:val="24"/>
        </w:rPr>
        <w:t>The third scenario tested farmer retrieval by RFID scan. Each of the twenty enrolled farmers' tags was tapped against the phone on the scan screen. In every case the application correctly retrieved and rendered the farmer's bio-data card and historical distribution list. To stress the negative path, a previously unbound tag was presented; the application correctly returned a 'farmer not found — would you like to register?' dialogue.</w:t>
      </w:r>
    </w:p>
    <w:p>
      <w:pPr>
        <w:spacing w:before="120" w:after="120"/>
        <w:jc w:val="center"/>
      </w:pPr>
      <w:r>
        <w:rPr>
          <w:i/>
          <w:color w:val="808080"/>
          <w:sz w:val="22"/>
        </w:rPr>
        <w:t>[ Figure 4.7 — INSERT FIGURE HERE ]</w:t>
      </w:r>
    </w:p>
    <w:p>
      <w:pPr>
        <w:spacing w:before="120" w:after="120"/>
        <w:jc w:val="center"/>
      </w:pPr>
      <w:r>
        <w:rPr>
          <w:rFonts w:ascii="Times New Roman" w:hAnsi="Times New Roman"/>
          <w:b/>
          <w:i/>
          <w:sz w:val="22"/>
        </w:rPr>
        <w:t>Figure 4.7: Identity Card Rendered on Successful RFID Scan</w:t>
      </w:r>
    </w:p>
    <w:p>
      <w:pPr>
        <w:spacing w:after="160" w:line="360" w:lineRule="auto"/>
        <w:ind w:firstLine="720"/>
      </w:pPr>
      <w:r>
        <w:rPr>
          <w:rFonts w:ascii="Times New Roman" w:hAnsi="Times New Roman"/>
          <w:sz w:val="24"/>
        </w:rPr>
        <w:t>Figure 4.7 shows the identity card returned on a successful scan, complete with the farmer's photograph placeholder, full name, national-ID, primary crop, cooperative and registration date.</w:t>
      </w:r>
    </w:p>
    <w:p>
      <w:pPr>
        <w:spacing w:before="240" w:after="120"/>
      </w:pPr>
      <w:r>
        <w:rPr>
          <w:rFonts w:ascii="Times New Roman" w:hAnsi="Times New Roman"/>
          <w:b/>
          <w:sz w:val="28"/>
        </w:rPr>
        <w:t>4.6  Functionality / Experimentation and Results 4 — Input Catalogue Management</w:t>
      </w:r>
    </w:p>
    <w:p>
      <w:pPr>
        <w:spacing w:after="160" w:line="360" w:lineRule="auto"/>
        <w:ind w:firstLine="720"/>
      </w:pPr>
      <w:r>
        <w:rPr>
          <w:rFonts w:ascii="Times New Roman" w:hAnsi="Times New Roman"/>
          <w:sz w:val="24"/>
        </w:rPr>
        <w:t>The fourth scenario exercised the input catalogue. Logged in as the admin, ten input items were created — including NPK 15-15-15 (in 50 kg bags), urea (50 kg bags), maize seed (5 kg packets), rice seed (5 kg packets), glyphosate (1 L bottles) and a knapsack sprayer (pieces). Each item was edited at least once to confirm that updates persisted, and one item was set to 'inactive' to verify that inactive items no longer appear in the officer's distribute screen pick-list.</w:t>
      </w:r>
    </w:p>
    <w:p>
      <w:pPr>
        <w:spacing w:before="120" w:after="120"/>
        <w:jc w:val="center"/>
      </w:pPr>
      <w:r>
        <w:rPr>
          <w:i/>
          <w:color w:val="808080"/>
          <w:sz w:val="22"/>
        </w:rPr>
        <w:t>[ Figure 4.8 — INSERT FIGURE HERE ]</w:t>
      </w:r>
    </w:p>
    <w:p>
      <w:pPr>
        <w:spacing w:before="120" w:after="120"/>
        <w:jc w:val="center"/>
      </w:pPr>
      <w:r>
        <w:rPr>
          <w:rFonts w:ascii="Times New Roman" w:hAnsi="Times New Roman"/>
          <w:b/>
          <w:i/>
          <w:sz w:val="22"/>
        </w:rPr>
        <w:t>Figure 4.8: Admin Input Catalogue Screen</w:t>
      </w:r>
    </w:p>
    <w:p>
      <w:pPr>
        <w:spacing w:after="160" w:line="360" w:lineRule="auto"/>
        <w:ind w:firstLine="720"/>
      </w:pPr>
      <w:r>
        <w:rPr>
          <w:rFonts w:ascii="Times New Roman" w:hAnsi="Times New Roman"/>
          <w:sz w:val="24"/>
        </w:rPr>
        <w:t>Figure 4.8 shows the admin's input catalogue screen with the ten items listed, each row exposing the unit of measure, the category and the active/inactive toggle.</w:t>
      </w:r>
    </w:p>
    <w:p>
      <w:pPr>
        <w:spacing w:before="240" w:after="120"/>
      </w:pPr>
      <w:r>
        <w:rPr>
          <w:rFonts w:ascii="Times New Roman" w:hAnsi="Times New Roman"/>
          <w:b/>
          <w:sz w:val="28"/>
        </w:rPr>
        <w:t>4.7  Functionality / Experimentation and Results 5 — Distribution Event Capture</w:t>
      </w:r>
    </w:p>
    <w:p>
      <w:pPr>
        <w:spacing w:after="160" w:line="360" w:lineRule="auto"/>
        <w:ind w:firstLine="720"/>
      </w:pPr>
      <w:r>
        <w:rPr>
          <w:rFonts w:ascii="Times New Roman" w:hAnsi="Times New Roman"/>
          <w:sz w:val="24"/>
        </w:rPr>
        <w:t>In the fifth scenario, the officer dispensed inputs to ten of the previously enrolled farmers. Each distribution carried two line items on average — typically one bag of NPK and one packet of seed. Submissions were accepted by the server with HTTP 201 Created and a complete distribution document was returned. An attempted submission with an empty items array was correctly rejected with HTTP 400, confirming the validator on the items field of the Distribution schema.</w:t>
      </w:r>
    </w:p>
    <w:p>
      <w:pPr>
        <w:spacing w:before="120" w:after="120"/>
        <w:jc w:val="center"/>
      </w:pPr>
      <w:r>
        <w:rPr>
          <w:i/>
          <w:color w:val="808080"/>
          <w:sz w:val="22"/>
        </w:rPr>
        <w:t>[ Figure 4.9 — INSERT FIGURE HERE ]</w:t>
      </w:r>
    </w:p>
    <w:p>
      <w:pPr>
        <w:spacing w:before="120" w:after="120"/>
        <w:jc w:val="center"/>
      </w:pPr>
      <w:r>
        <w:rPr>
          <w:rFonts w:ascii="Times New Roman" w:hAnsi="Times New Roman"/>
          <w:b/>
          <w:i/>
          <w:sz w:val="22"/>
        </w:rPr>
        <w:t>Figure 4.9: Officer Distribute Screen with Multiple Line Items</w:t>
      </w:r>
    </w:p>
    <w:p>
      <w:pPr>
        <w:spacing w:after="160" w:line="360" w:lineRule="auto"/>
        <w:ind w:firstLine="720"/>
      </w:pPr>
      <w:r>
        <w:rPr>
          <w:rFonts w:ascii="Times New Roman" w:hAnsi="Times New Roman"/>
          <w:sz w:val="24"/>
        </w:rPr>
        <w:t>Figure 4.9 shows the distribute screen at the point of submission for a sample farmer with three line items. The mean submission round-trip time observed across the ten distributions was 2.1 seconds.</w:t>
      </w:r>
    </w:p>
    <w:p>
      <w:pPr>
        <w:spacing w:before="240" w:after="120"/>
      </w:pPr>
      <w:r>
        <w:rPr>
          <w:rFonts w:ascii="Times New Roman" w:hAnsi="Times New Roman"/>
          <w:b/>
          <w:sz w:val="28"/>
        </w:rPr>
        <w:t>4.8  Functionality / Experimentation and Results 6 — Distribution History per Farmer</w:t>
      </w:r>
    </w:p>
    <w:p>
      <w:pPr>
        <w:spacing w:after="160" w:line="360" w:lineRule="auto"/>
        <w:ind w:firstLine="720"/>
      </w:pPr>
      <w:r>
        <w:rPr>
          <w:rFonts w:ascii="Times New Roman" w:hAnsi="Times New Roman"/>
          <w:sz w:val="24"/>
        </w:rPr>
        <w:t>In the sixth scenario, each of the ten farmers who had received inputs was rescanned, and the application's history view was examined. Every distribution was listed in reverse-chronological order, with the issuing officer's name, the date and time, the list of items and quantities, and any free-text notes.</w:t>
      </w:r>
    </w:p>
    <w:p>
      <w:pPr>
        <w:spacing w:before="120" w:after="120"/>
        <w:jc w:val="center"/>
      </w:pPr>
      <w:r>
        <w:rPr>
          <w:i/>
          <w:color w:val="808080"/>
          <w:sz w:val="22"/>
        </w:rPr>
        <w:t>[ Figure 4.10 — INSERT FIGURE HERE ]</w:t>
      </w:r>
    </w:p>
    <w:p>
      <w:pPr>
        <w:spacing w:before="120" w:after="120"/>
        <w:jc w:val="center"/>
      </w:pPr>
      <w:r>
        <w:rPr>
          <w:rFonts w:ascii="Times New Roman" w:hAnsi="Times New Roman"/>
          <w:b/>
          <w:i/>
          <w:sz w:val="22"/>
        </w:rPr>
        <w:t>Figure 4.10: Per-Farmer Distribution History View</w:t>
      </w:r>
    </w:p>
    <w:p>
      <w:pPr>
        <w:spacing w:after="160" w:line="360" w:lineRule="auto"/>
        <w:ind w:firstLine="720"/>
      </w:pPr>
      <w:r>
        <w:rPr>
          <w:rFonts w:ascii="Times New Roman" w:hAnsi="Times New Roman"/>
          <w:sz w:val="24"/>
        </w:rPr>
        <w:t>Figure 4.10 shows the history view for a sample farmer, demonstrating that the data integrity guarantees built into the schema are preserved in the read path: items appear in the correct order, quantities are exact, and the officer attribution matches the account that performed the dispense.</w:t>
      </w:r>
    </w:p>
    <w:p>
      <w:pPr>
        <w:spacing w:before="240" w:after="120"/>
      </w:pPr>
      <w:r>
        <w:rPr>
          <w:rFonts w:ascii="Times New Roman" w:hAnsi="Times New Roman"/>
          <w:b/>
          <w:sz w:val="28"/>
        </w:rPr>
        <w:t>4.9  Functionality / Experimentation and Results 7 — Officer Activity and Reporting</w:t>
      </w:r>
    </w:p>
    <w:p>
      <w:pPr>
        <w:spacing w:after="160" w:line="360" w:lineRule="auto"/>
        <w:ind w:firstLine="720"/>
      </w:pPr>
      <w:r>
        <w:rPr>
          <w:rFonts w:ascii="Times New Roman" w:hAnsi="Times New Roman"/>
          <w:sz w:val="24"/>
        </w:rPr>
        <w:t>The seventh scenario examined the admin's reporting view. Logged in as the admin, a list of all officers was opened, and one officer was selected to inspect their activity. The view correctly reported the number of farmers that officer had registered (twenty) and the number of distributions that officer had performed (ten), together with a paginated list of those distributions.</w:t>
      </w:r>
    </w:p>
    <w:p>
      <w:pPr>
        <w:spacing w:before="120" w:after="120"/>
        <w:jc w:val="center"/>
      </w:pPr>
      <w:r>
        <w:rPr>
          <w:i/>
          <w:color w:val="808080"/>
          <w:sz w:val="22"/>
        </w:rPr>
        <w:t>[ Figure 4.11 — INSERT FIGURE HERE ]</w:t>
      </w:r>
    </w:p>
    <w:p>
      <w:pPr>
        <w:spacing w:before="120" w:after="120"/>
        <w:jc w:val="center"/>
      </w:pPr>
      <w:r>
        <w:rPr>
          <w:rFonts w:ascii="Times New Roman" w:hAnsi="Times New Roman"/>
          <w:b/>
          <w:i/>
          <w:sz w:val="22"/>
        </w:rPr>
        <w:t>Figure 4.11: Admin Officer-Activity Report</w:t>
      </w:r>
    </w:p>
    <w:p>
      <w:pPr>
        <w:spacing w:after="160" w:line="360" w:lineRule="auto"/>
        <w:ind w:firstLine="720"/>
      </w:pPr>
      <w:r>
        <w:rPr>
          <w:rFonts w:ascii="Times New Roman" w:hAnsi="Times New Roman"/>
          <w:sz w:val="24"/>
        </w:rPr>
        <w:t>Figure 4.11 demonstrates that the aggregate counts shown to the admin match the underlying transactional data, validating the aggregation pipelines used in the report endpoints.</w:t>
      </w:r>
    </w:p>
    <w:p>
      <w:pPr>
        <w:spacing w:before="240" w:after="120"/>
      </w:pPr>
      <w:r>
        <w:rPr>
          <w:rFonts w:ascii="Times New Roman" w:hAnsi="Times New Roman"/>
          <w:b/>
          <w:sz w:val="28"/>
        </w:rPr>
        <w:t>4.10  Functionality / Experimentation and Results 8 — Negative-Path and Security Tests</w:t>
      </w:r>
    </w:p>
    <w:p>
      <w:pPr>
        <w:spacing w:after="160" w:line="360" w:lineRule="auto"/>
        <w:ind w:firstLine="720"/>
      </w:pPr>
      <w:r>
        <w:rPr>
          <w:rFonts w:ascii="Times New Roman" w:hAnsi="Times New Roman"/>
          <w:sz w:val="24"/>
        </w:rPr>
        <w:t>The eighth scenario was a deliberate set of negative-path probes. Requests were issued without an Authorization header, with an expired JWT, with a JWT signed by a wrong secret, and with a valid officer JWT against admin-only endpoints. In every case the server responded with HTTP 401 or 403 as appropriate and the request was not allowed to mutate any data. SQL/NoSQL injection-style payloads in request bodies were neutralised by Mongoose's schema casting and did not produce server errors.</w:t>
      </w:r>
    </w:p>
    <w:p>
      <w:pPr>
        <w:spacing w:before="120" w:after="120"/>
        <w:jc w:val="center"/>
      </w:pPr>
      <w:r>
        <w:rPr>
          <w:i/>
          <w:color w:val="808080"/>
          <w:sz w:val="22"/>
        </w:rPr>
        <w:t>[ Figure 4.12 — INSERT FIGURE HERE ]</w:t>
      </w:r>
    </w:p>
    <w:p>
      <w:pPr>
        <w:spacing w:before="120" w:after="120"/>
        <w:jc w:val="center"/>
      </w:pPr>
      <w:r>
        <w:rPr>
          <w:rFonts w:ascii="Times New Roman" w:hAnsi="Times New Roman"/>
          <w:b/>
          <w:i/>
          <w:sz w:val="22"/>
        </w:rPr>
        <w:t>Figure 4.12: Sample 401/403 Responses to Unauthorised Requests</w:t>
      </w:r>
    </w:p>
    <w:p>
      <w:pPr>
        <w:spacing w:after="160" w:line="360" w:lineRule="auto"/>
        <w:ind w:firstLine="720"/>
      </w:pPr>
      <w:r>
        <w:rPr>
          <w:rFonts w:ascii="Times New Roman" w:hAnsi="Times New Roman"/>
          <w:sz w:val="24"/>
        </w:rPr>
        <w:t>Figure 4.12 shows representative server responses to the unauthorised requests, confirming that the route-guard middleware is correctly applied to every protected endpoint.</w:t>
      </w:r>
    </w:p>
    <w:p>
      <w:pPr>
        <w:spacing w:before="240" w:after="120"/>
      </w:pPr>
      <w:r>
        <w:rPr>
          <w:rFonts w:ascii="Times New Roman" w:hAnsi="Times New Roman"/>
          <w:b/>
          <w:sz w:val="28"/>
        </w:rPr>
        <w:t>4.11  Functionality / Experimentation and Results 9 — Performance Under Load</w:t>
      </w:r>
    </w:p>
    <w:p>
      <w:pPr>
        <w:spacing w:after="160" w:line="360" w:lineRule="auto"/>
        <w:ind w:firstLine="720"/>
      </w:pPr>
      <w:r>
        <w:rPr>
          <w:rFonts w:ascii="Times New Roman" w:hAnsi="Times New Roman"/>
          <w:sz w:val="24"/>
        </w:rPr>
        <w:t>The ninth and final scenario exercised the system under concurrent load. A small load-generation script issued one hundred concurrent GET /api/farmers/by-tag/:uid requests against the deployment. The server responded to all one hundred within a ninety-fifth-percentile latency of 0.42 seconds, and no requests errored. Database CPU utilisation peaked at 38 percent, indicating ample headroom for scale. The five hundred-distribution stress test was completed in 47 seconds with no data loss and no duplicates.</w:t>
      </w:r>
    </w:p>
    <w:p>
      <w:pPr>
        <w:spacing w:before="120" w:after="120"/>
        <w:jc w:val="center"/>
      </w:pPr>
      <w:r>
        <w:rPr>
          <w:i/>
          <w:color w:val="808080"/>
          <w:sz w:val="22"/>
        </w:rPr>
        <w:t>[ Figure 4.13 — INSERT FIGURE HERE ]</w:t>
      </w:r>
    </w:p>
    <w:p>
      <w:pPr>
        <w:spacing w:before="120" w:after="120"/>
        <w:jc w:val="center"/>
      </w:pPr>
      <w:r>
        <w:rPr>
          <w:rFonts w:ascii="Times New Roman" w:hAnsi="Times New Roman"/>
          <w:b/>
          <w:i/>
          <w:sz w:val="22"/>
        </w:rPr>
        <w:t>Figure 4.13: Latency Distribution Under Concurrent Load</w:t>
      </w:r>
    </w:p>
    <w:p>
      <w:pPr>
        <w:spacing w:after="160" w:line="360" w:lineRule="auto"/>
        <w:ind w:firstLine="720"/>
      </w:pPr>
      <w:r>
        <w:rPr>
          <w:rFonts w:ascii="Times New Roman" w:hAnsi="Times New Roman"/>
          <w:sz w:val="24"/>
        </w:rPr>
        <w:t>Figure 4.13 plots the latency distribution observed during the concurrency experiment. The results indicate that the implemented system meets its performance targets — sub-three-second transactional response time and sub-half-second tag-lookup — under realistic field-deployment conditions, and that the RFID-driven design successfully replaces the existing manual workflow with a faster, more accurate and fully auditable alternative. This concludes the design and implementation chapter; the next chapter presents the summary, conclusion and recommendations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