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Руководство по обучению модели нейросети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Обработка файлов(формируем выборку из html страниц):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1)формирование датафрейма(таблица,у которой индексированы столбики и строки)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2)Расстояние Левенштейна(метрика сходства между двумя последовательностями)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Токенизация(преобразование данных):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1)инициализация токенайзера для обработки текста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2)подготовка данных машинного обучения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3)Определяем макс. длину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4)Создаём модель RNN и компилируем её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5)обучаем модель на исходных и целевых последовательностях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6)преобразуем модель в последовательность чисел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7)получаем предсказание модели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Руководство по использованию модели: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