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Note interne sur les conges</w:t>
      </w:r>
    </w:p>
    <w:tbl>
      <w:tr>
        <w:tc>
          <w:p>
            <w:r>
              <w:t>Cellule</w:t>
            </w:r>
          </w:p>
        </w:tc>
      </w:tr>
    </w:tbl>
    <w:sectPr>
      <w:headerReference w:type="default" r:id="rId2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embedRegular r:id="rId1" w:fontKey="{00000000-0000-0000-0000-000000000000}"/>
  </w:font>
  <w:font w:name="Arial"/>
</w:fonts>
</file>

<file path=word/header1.xml><?xml version="1.0" encoding="utf-8"?>
<w:hdr xmlns:w="http://schemas.openxmlformats.org/wordprocessingml/2006/main">
  <w:p>
    <w:r>
      <w:t>Eng nei Schaff - jane@example.com - Tel 00352 54 66 70</w:t>
    </w:r>
  </w:p>
</w:hdr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header" Target="header1.xml"/>
</Relationships>
</file>

<file path=word/_rels/fontTable.xml.rels><?xml version="1.0" encoding="UTF-8" standalone="yes"?>
<Relationships xmlns="http://schemas.openxmlformats.org/package/2006/relationships">
  <Relationship Id="rId1" Type="http://schemas.openxmlformats.org/officeDocument/2006/relationships/font" Target="fonts/fontCalibriRegular.odttf"/>
</Relationships>
</file>