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omic Sans MS" w:hAnsi="Comic Sans MS"/>
          <w:b/>
          <w:sz w:val="40"/>
        </w:rPr>
        <w:t>Northwind Fabricators Ltd.</w:t>
      </w:r>
    </w:p>
    <w:p>
      <w:pPr>
        <w:jc w:val="center"/>
      </w:pPr>
      <w:r>
        <w:rPr>
          <w:rFonts w:ascii="Courier New" w:hAnsi="Courier New"/>
          <w:b/>
          <w:sz w:val="40"/>
        </w:rPr>
        <w:t>Q3 Quarterly Business Report</w:t>
      </w:r>
    </w:p>
    <w:p>
      <w:pPr>
        <w:jc w:val="center"/>
      </w:pPr>
      <w:r>
        <w:rPr>
          <w:rFonts w:ascii="Comic Sans MS" w:hAnsi="Comic Sans MS"/>
          <w:b/>
          <w:sz w:val="40"/>
        </w:rPr>
        <w:t>Executive Summary</w:t>
      </w:r>
    </w:p>
    <w:p>
      <w:r>
        <w:rPr>
          <w:rFonts w:ascii="Calibri" w:hAnsi="Calibri"/>
          <w:sz w:val="20"/>
        </w:rPr>
        <w:t>Northwind Fabricators Ltd. closed the third quarter with revenue of $4.82 million, an increase of 6.1% over the prior quarter. Gross margin held steady at 41.3%, supported by lower input costs in the Midland production facility and a favorable shift in product mix toward higher-margin fastener lines.</w:t>
      </w:r>
    </w:p>
    <w:p>
      <w:r>
        <w:rPr>
          <w:rFonts w:ascii="Calibri" w:hAnsi="Calibri"/>
          <w:sz w:val="20"/>
        </w:rPr>
        <w:t>Management remains cautiously optimistic about Q4 demand, citing a healthy order backlog of $2.1 million across the Industrial and Consumer segments. The backlog figure represents the largest quarter-end position in company history, driven in part by a multi-year supply agreement signed with a regional infrastructure contractor during the period.</w:t>
      </w:r>
    </w:p>
    <w:p>
      <w:r>
        <w:rPr>
          <w:rFonts w:ascii="Calibri" w:hAnsi="Calibri"/>
          <w:sz w:val="20"/>
        </w:rPr>
        <w:t>The executive team also completed a review of the company's five-year capital plan, concluding that the current pace of warehouse automation investment remains appropriate given projected volume growth. No changes to the plan were proposed at this time, though the finance committee will revisit assumptions again ahead of the annual budget cycle.</w:t>
      </w:r>
    </w:p>
    <w:p>
      <w:pPr>
        <w:jc w:val="center"/>
      </w:pPr>
      <w:r>
        <w:rPr>
          <w:rFonts w:ascii="Courier New" w:hAnsi="Courier New"/>
          <w:b/>
          <w:sz w:val="40"/>
        </w:rPr>
        <w:t>Financial Highlights</w:t>
      </w:r>
    </w:p>
    <w:p>
      <w:r>
        <w:rPr>
          <w:rFonts w:ascii="Calibri" w:hAnsi="Calibri"/>
          <w:sz w:val="20"/>
        </w:rPr>
        <w:t>Operating expenses rose modestly to $1.36 million, driven by planned increases in logistics spend ahead of the holiday shipping season. Net income for the quarter was $612,000, compared to $558,000 in the prior quarter, representing growth of 9.7% on a sequential basis and 14.2% on a year-over-year basis.</w:t>
      </w:r>
    </w:p>
    <w:p>
      <w:r>
        <w:rPr>
          <w:rFonts w:ascii="Calibri" w:hAnsi="Calibri"/>
          <w:sz w:val="20"/>
        </w:rPr>
        <w:t>The board approved a continuation of the quarterly dividend at $0.08 per share, payable to shareholders of record as of the fifteenth of next month. This marks the eleventh consecutive quarter of stable or increasing dividend payments, a streak the board reaffirmed as consistent with its long-standing capital return policy.</w:t>
      </w:r>
    </w:p>
    <w:p>
      <w:r>
        <w:rPr>
          <w:rFonts w:ascii="Calibri" w:hAnsi="Calibri"/>
          <w:sz w:val="20"/>
        </w:rPr>
        <w:t>Cash and short-term investments stood at $3.4 million at quarter end, down slightly from $3.6 million in the prior quarter due to seasonal inventory build ahead of the fourth-quarter shipping window. The company's revolving credit facility remained undrawn throughout the period.</w:t>
      </w:r>
    </w:p>
    <w:p>
      <w:pPr>
        <w:pStyle w:val="ListBullet"/>
      </w:pPr>
      <w:r>
        <w:rPr>
          <w:rFonts w:ascii="Calibri" w:hAnsi="Calibri"/>
          <w:color w:val="CC0000"/>
          <w:sz w:val="20"/>
        </w:rPr>
        <w:t>Revenue growth accelerated in the Industrial segment</w:t>
      </w:r>
    </w:p>
    <w:p>
      <w:pPr>
        <w:pStyle w:val="ListBullet"/>
      </w:pPr>
      <w:r>
        <w:rPr>
          <w:rFonts w:ascii="Calibri" w:hAnsi="Calibri"/>
          <w:color w:val="009933"/>
          <w:sz w:val="20"/>
        </w:rPr>
        <w:t>Logistics costs increased ahead of peak season</w:t>
      </w:r>
    </w:p>
    <w:p>
      <w:pPr>
        <w:pStyle w:val="ListBullet"/>
      </w:pPr>
      <w:r>
        <w:rPr>
          <w:rFonts w:ascii="Calibri" w:hAnsi="Calibri"/>
          <w:color w:val="FF9900"/>
          <w:sz w:val="20"/>
        </w:rPr>
        <w:t>Dividend maintained at prior-quarter level</w:t>
      </w:r>
    </w:p>
    <w:tbl>
      <w:tblPr>
        <w:tblStyle w:val="TableGrid"/>
        <w:tblW w:type="auto" w:w="0"/>
        <w:tblLook w:firstColumn="1" w:firstRow="1" w:lastColumn="0" w:lastRow="0" w:noHBand="0" w:noVBand="1" w:val="04A0"/>
      </w:tblPr>
      <w:tblGrid>
        <w:gridCol w:w="3702"/>
        <w:gridCol w:w="3702"/>
        <w:gridCol w:w="3702"/>
      </w:tblGrid>
      <w:tr>
        <w:tc>
          <w:tcPr>
            <w:tcW w:type="dxa" w:w="3702"/>
          </w:tcPr>
          <w:p>
            <w:r>
              <w:rPr>
                <w:b/>
                <w:color w:val="FFFF00"/>
              </w:rPr>
              <w:t>Segment</w:t>
            </w:r>
          </w:p>
        </w:tc>
        <w:tc>
          <w:tcPr>
            <w:tcW w:type="dxa" w:w="3702"/>
          </w:tcPr>
          <w:p>
            <w:r>
              <w:rPr>
                <w:b/>
                <w:color w:val="FFFF00"/>
              </w:rPr>
              <w:t>Q3 Revenue ($M)</w:t>
            </w:r>
          </w:p>
        </w:tc>
        <w:tc>
          <w:tcPr>
            <w:tcW w:type="dxa" w:w="3702"/>
          </w:tcPr>
          <w:p>
            <w:r>
              <w:rPr>
                <w:b/>
                <w:color w:val="FFFF00"/>
              </w:rPr>
              <w:t>QoQ Change</w:t>
            </w:r>
          </w:p>
        </w:tc>
      </w:tr>
      <w:tr>
        <w:tc>
          <w:tcPr>
            <w:tcW w:type="dxa" w:w="3702"/>
          </w:tcPr>
          <w:p>
            <w:r>
              <w:t>Industrial</w:t>
            </w:r>
          </w:p>
        </w:tc>
        <w:tc>
          <w:tcPr>
            <w:tcW w:type="dxa" w:w="3702"/>
          </w:tcPr>
          <w:p>
            <w:r>
              <w:t>2.90</w:t>
            </w:r>
          </w:p>
        </w:tc>
        <w:tc>
          <w:tcPr>
            <w:tcW w:type="dxa" w:w="3702"/>
          </w:tcPr>
          <w:p>
            <w:r>
              <w:t>+4.4%</w:t>
            </w:r>
          </w:p>
        </w:tc>
      </w:tr>
      <w:tr>
        <w:tc>
          <w:tcPr>
            <w:tcW w:type="dxa" w:w="3702"/>
          </w:tcPr>
          <w:p>
            <w:r>
              <w:t>Consumer</w:t>
            </w:r>
          </w:p>
        </w:tc>
        <w:tc>
          <w:tcPr>
            <w:tcW w:type="dxa" w:w="3702"/>
          </w:tcPr>
          <w:p>
            <w:r>
              <w:t>1.92</w:t>
            </w:r>
          </w:p>
        </w:tc>
        <w:tc>
          <w:tcPr>
            <w:tcW w:type="dxa" w:w="3702"/>
          </w:tcPr>
          <w:p>
            <w:r>
              <w:t>-0.3%</w:t>
            </w:r>
          </w:p>
        </w:tc>
      </w:tr>
      <w:tr>
        <w:tc>
          <w:tcPr>
            <w:tcW w:type="dxa" w:w="3702"/>
          </w:tcPr>
          <w:p>
            <w:r>
              <w:t>Other</w:t>
            </w:r>
          </w:p>
        </w:tc>
        <w:tc>
          <w:tcPr>
            <w:tcW w:type="dxa" w:w="3702"/>
          </w:tcPr>
          <w:p>
            <w:r>
              <w:t>0.00</w:t>
            </w:r>
          </w:p>
        </w:tc>
        <w:tc>
          <w:tcPr>
            <w:tcW w:type="dxa" w:w="3702"/>
          </w:tcPr>
          <w:p>
            <w:r>
              <w:t>n/a</w:t>
            </w:r>
          </w:p>
        </w:tc>
      </w:tr>
    </w:tbl>
    <w:p>
      <w:pPr>
        <w:jc w:val="center"/>
      </w:pPr>
      <w:r>
        <w:rPr>
          <w:rFonts w:ascii="Papyrus" w:hAnsi="Papyrus"/>
          <w:b/>
          <w:sz w:val="40"/>
        </w:rPr>
        <w:t>Segment Performance</w:t>
      </w:r>
    </w:p>
    <w:p>
      <w:r>
        <w:rPr>
          <w:rFonts w:ascii="Calibri" w:hAnsi="Calibri"/>
          <w:sz w:val="20"/>
        </w:rPr>
        <w:t>The Industrial segment contributed $2.9 million in revenue, up 4.4% quarter over quarter, led by strong demand for structural fasteners used in commercial construction projects. Unit volumes in this segment increased 5.1%, partially offset by modest price softening in the mid-tier product tier.</w:t>
      </w:r>
    </w:p>
    <w:p>
      <w:r>
        <w:rPr>
          <w:rFonts w:ascii="Calibri" w:hAnsi="Calibri"/>
          <w:sz w:val="20"/>
        </w:rPr>
        <w:t>The Consumer segment contributed $1.92 million, roughly flat against the prior period. Management attributed the flat performance to a temporary slowdown in big-box retail reorders, which is expected to normalize as retailers rebuild inventory ahead of the holiday season.</w:t>
      </w:r>
    </w:p>
    <w:p>
      <w:r>
        <w:rPr>
          <w:rFonts w:ascii="Calibri" w:hAnsi="Calibri"/>
          <w:sz w:val="20"/>
        </w:rPr>
        <w:t>Regional performance was mixed: the Northern territory grew 9%, while the Southern territory declined 2% amid a temporary distributor transition following the planned retirement of a long-tenured regional sales partner. A replacement distributor agreement was finalized in the final week of the quarter and is expected to restore normal order flow by the start of Q4.</w:t>
      </w:r>
    </w:p>
    <w:p>
      <w:pPr>
        <w:jc w:val="center"/>
      </w:pPr>
      <w:r>
        <w:rPr>
          <w:rFonts w:ascii="Comic Sans MS" w:hAnsi="Comic Sans MS"/>
          <w:b/>
          <w:sz w:val="40"/>
        </w:rPr>
        <w:t>Outlook</w:t>
      </w:r>
    </w:p>
    <w:p>
      <w:r>
        <w:rPr>
          <w:rFonts w:ascii="Calibri" w:hAnsi="Calibri"/>
          <w:sz w:val="20"/>
        </w:rPr>
        <w:t>Management expects full-year revenue to land between $18.6 million and $19.1 million, assuming no material disruption to raw material supply. Capital expenditure guidance for the coming year remains unchanged at $1.4 million, primarily for warehouse automation equipment at the Midland facility.</w:t>
      </w:r>
    </w:p>
    <w:p>
      <w:r>
        <w:rPr>
          <w:rFonts w:ascii="Calibri" w:hAnsi="Calibri"/>
          <w:sz w:val="20"/>
        </w:rPr>
        <w:t>A detailed risk assessment, including commentary on input cost volatility and logistics capacity, is provided in the appendix of the full filing. Key risks identified include continued volatility in steel and resin input costs, potential freight capacity constraints during peak shipping periods, and general macroeconomic softness affecting construction spending in certain regions.</w:t>
      </w:r>
    </w:p>
    <w:p>
      <w:r>
        <w:rPr>
          <w:rFonts w:ascii="Calibri" w:hAnsi="Calibri"/>
          <w:sz w:val="20"/>
        </w:rPr>
        <w:t>The company plans to open a new regional distribution point in the Southeast during the first half of next year, subject to final site approval. This expansion is intended to reduce average delivery times to key accounts in that territory and to support anticipated growth in the Industrial segment.</w:t>
      </w:r>
    </w:p>
    <w:sectPr w:rsidR="00FC693F" w:rsidRPr="0006063C" w:rsidSect="00034616">
      <w:pgSz w:w="12240" w:h="15840"/>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