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EE2BC0" w14:textId="77777777" w:rsidR="009A64FE" w:rsidRDefault="00000000">
      <w:pPr>
        <w:pStyle w:val="Title"/>
      </w:pPr>
      <w:r>
        <w:t>Population Growth Dynamics in the Philippines (2015 – 2020)</w:t>
      </w:r>
    </w:p>
    <w:p w14:paraId="44115272" w14:textId="77777777" w:rsidR="009A64FE" w:rsidRDefault="00000000">
      <w:pPr>
        <w:pStyle w:val="Heading1"/>
      </w:pPr>
      <w:r>
        <w:t>1. Overview</w:t>
      </w:r>
    </w:p>
    <w:p w14:paraId="6794B641" w14:textId="7047A814" w:rsidR="009A64FE" w:rsidRDefault="00000000">
      <w:r>
        <w:t xml:space="preserve">The analysis draws on the two most recent population censuses conducted by the Philippine Statistics Authority (PSA) in 2015 and 2020. Because the government releases census data only every five years—and the 2025 results are not yet available—we lack annual observations and therefore cannot track short‑term </w:t>
      </w:r>
      <w:r w:rsidR="006B0FB8">
        <w:t xml:space="preserve">population </w:t>
      </w:r>
      <w:r>
        <w:t>fluctuations or the immediate demographic impact of recent climate‑related events. Nonetheless, comparing 2015 and 2020 provides a snapshot of medium‑term demographic change across municipalities and cities.</w:t>
      </w:r>
    </w:p>
    <w:p w14:paraId="2A640010" w14:textId="77777777" w:rsidR="000019D2" w:rsidRDefault="000019D2"/>
    <w:p w14:paraId="4F20C975" w14:textId="77777777" w:rsidR="009A64FE" w:rsidRDefault="00000000">
      <w:pPr>
        <w:pStyle w:val="Heading1"/>
      </w:pPr>
      <w:r>
        <w:t>2. Data Sources</w:t>
      </w:r>
    </w:p>
    <w:tbl>
      <w:tblPr>
        <w:tblW w:w="0" w:type="auto"/>
        <w:tblLook w:val="04A0" w:firstRow="1" w:lastRow="0" w:firstColumn="1" w:lastColumn="0" w:noHBand="0" w:noVBand="1"/>
      </w:tblPr>
      <w:tblGrid>
        <w:gridCol w:w="4320"/>
        <w:gridCol w:w="4320"/>
      </w:tblGrid>
      <w:tr w:rsidR="009A64FE" w14:paraId="5EC70D01" w14:textId="77777777">
        <w:tc>
          <w:tcPr>
            <w:tcW w:w="4320" w:type="dxa"/>
          </w:tcPr>
          <w:p w14:paraId="37DD7249" w14:textId="77777777" w:rsidR="009A64FE" w:rsidRDefault="00000000">
            <w:r>
              <w:t>Source</w:t>
            </w:r>
          </w:p>
        </w:tc>
        <w:tc>
          <w:tcPr>
            <w:tcW w:w="4320" w:type="dxa"/>
          </w:tcPr>
          <w:p w14:paraId="457619C2" w14:textId="77777777" w:rsidR="009A64FE" w:rsidRDefault="00000000">
            <w:r>
              <w:t>Description</w:t>
            </w:r>
          </w:p>
        </w:tc>
      </w:tr>
      <w:tr w:rsidR="009A64FE" w14:paraId="0D5B69D1" w14:textId="77777777">
        <w:tc>
          <w:tcPr>
            <w:tcW w:w="4320" w:type="dxa"/>
          </w:tcPr>
          <w:p w14:paraId="154ABDED" w14:textId="77777777" w:rsidR="009A64FE" w:rsidRDefault="00000000">
            <w:r>
              <w:t>2015 PSA Census</w:t>
            </w:r>
          </w:p>
        </w:tc>
        <w:tc>
          <w:tcPr>
            <w:tcW w:w="4320" w:type="dxa"/>
          </w:tcPr>
          <w:p w14:paraId="6F64E96A" w14:textId="77777777" w:rsidR="009A64FE" w:rsidRDefault="00000000">
            <w:r>
              <w:t>Population counts at regional, provincial, and municipal/city levels.</w:t>
            </w:r>
          </w:p>
        </w:tc>
      </w:tr>
      <w:tr w:rsidR="009A64FE" w14:paraId="5A0E1140" w14:textId="77777777">
        <w:tc>
          <w:tcPr>
            <w:tcW w:w="4320" w:type="dxa"/>
          </w:tcPr>
          <w:p w14:paraId="06F73665" w14:textId="77777777" w:rsidR="009A64FE" w:rsidRDefault="00000000">
            <w:r>
              <w:t>2020 PSA Census</w:t>
            </w:r>
          </w:p>
        </w:tc>
        <w:tc>
          <w:tcPr>
            <w:tcW w:w="4320" w:type="dxa"/>
          </w:tcPr>
          <w:p w14:paraId="54EE6E66" w14:textId="77777777" w:rsidR="009A64FE" w:rsidRDefault="00000000">
            <w:r>
              <w:t>Updated counts plus household numbers per municipality/city.</w:t>
            </w:r>
          </w:p>
        </w:tc>
      </w:tr>
      <w:tr w:rsidR="009A64FE" w14:paraId="0C3DAB65" w14:textId="77777777">
        <w:tc>
          <w:tcPr>
            <w:tcW w:w="4320" w:type="dxa"/>
          </w:tcPr>
          <w:p w14:paraId="68B8A80D" w14:textId="77777777" w:rsidR="009A64FE" w:rsidRDefault="00000000">
            <w:r>
              <w:t>OpenStreetMap / Nominatim</w:t>
            </w:r>
          </w:p>
        </w:tc>
        <w:tc>
          <w:tcPr>
            <w:tcW w:w="4320" w:type="dxa"/>
          </w:tcPr>
          <w:p w14:paraId="4D34F65E" w14:textId="77777777" w:rsidR="009A64FE" w:rsidRDefault="00000000">
            <w:r>
              <w:t>Used to geocode latitude‑longitude coordinates for every municipality/city.</w:t>
            </w:r>
          </w:p>
          <w:p w14:paraId="0F13F8D5" w14:textId="77777777" w:rsidR="000019D2" w:rsidRDefault="000019D2"/>
        </w:tc>
      </w:tr>
    </w:tbl>
    <w:p w14:paraId="34E4F505" w14:textId="77777777" w:rsidR="009A64FE" w:rsidRDefault="00000000">
      <w:pPr>
        <w:pStyle w:val="Heading1"/>
      </w:pPr>
      <w:r>
        <w:t>3. Methodology</w:t>
      </w:r>
    </w:p>
    <w:p w14:paraId="4E98848D" w14:textId="4E1F7F87" w:rsidR="009A64FE" w:rsidRDefault="00000000">
      <w:pPr>
        <w:pStyle w:val="ListNumber"/>
      </w:pPr>
      <w:r>
        <w:t xml:space="preserve">Data </w:t>
      </w:r>
      <w:proofErr w:type="gramStart"/>
      <w:r>
        <w:t>Cleaning  –</w:t>
      </w:r>
      <w:proofErr w:type="gramEnd"/>
      <w:r>
        <w:t xml:space="preserve"> Aligned municipality/city names across the two censuses (accounting for spelling changes, splits,</w:t>
      </w:r>
      <w:r w:rsidR="006B0FB8">
        <w:t xml:space="preserve"> </w:t>
      </w:r>
      <w:proofErr w:type="gramStart"/>
      <w:r w:rsidR="006B0FB8">
        <w:t>etc.</w:t>
      </w:r>
      <w:r>
        <w:t xml:space="preserve"> )</w:t>
      </w:r>
      <w:proofErr w:type="gramEnd"/>
      <w:r>
        <w:t>.</w:t>
      </w:r>
    </w:p>
    <w:p w14:paraId="4C21F6DB" w14:textId="77777777" w:rsidR="009A64FE" w:rsidRDefault="00000000">
      <w:pPr>
        <w:pStyle w:val="ListNumber"/>
      </w:pPr>
      <w:r>
        <w:t>Geocoding – Leveraged the Python geopy wrapper for Nominatim to assign coordinates to each locality—enabling spatial visualisations and mapping.</w:t>
      </w:r>
    </w:p>
    <w:p w14:paraId="4E07FD09" w14:textId="77777777" w:rsidR="009A64FE" w:rsidRDefault="00000000">
      <w:pPr>
        <w:pStyle w:val="ListNumber"/>
      </w:pPr>
      <w:r>
        <w:t>Growth‑Rate Calculation – Growth Rate = (P2020 − P2015) / P2015 × 100</w:t>
      </w:r>
    </w:p>
    <w:p w14:paraId="318E909F" w14:textId="77777777" w:rsidR="00BC6166" w:rsidRDefault="00000000">
      <w:pPr>
        <w:pStyle w:val="ListNumber"/>
      </w:pPr>
      <w:proofErr w:type="spellStart"/>
      <w:r>
        <w:t>Visualisation</w:t>
      </w:r>
      <w:proofErr w:type="spellEnd"/>
      <w:r>
        <w:t xml:space="preserve"> </w:t>
      </w:r>
      <w:r w:rsidR="00BC6166">
        <w:t>Created:</w:t>
      </w:r>
      <w:r>
        <w:t xml:space="preserve"> </w:t>
      </w:r>
    </w:p>
    <w:p w14:paraId="709623B7" w14:textId="77777777" w:rsidR="00BC6166" w:rsidRDefault="00000000" w:rsidP="00BC6166">
      <w:pPr>
        <w:pStyle w:val="ListNumber"/>
        <w:numPr>
          <w:ilvl w:val="0"/>
          <w:numId w:val="10"/>
        </w:numPr>
      </w:pPr>
      <w:r>
        <w:t>Interactive leaflet maps for 2015 population, 2020 population, and 2015‑20 growth rates</w:t>
      </w:r>
      <w:r w:rsidR="00BC6166">
        <w:t>.</w:t>
      </w:r>
      <w:r>
        <w:t xml:space="preserve"> </w:t>
      </w:r>
    </w:p>
    <w:p w14:paraId="534EE57A" w14:textId="77777777" w:rsidR="00BC6166" w:rsidRDefault="00BC6166" w:rsidP="00BC6166">
      <w:pPr>
        <w:pStyle w:val="ListNumber"/>
        <w:numPr>
          <w:ilvl w:val="0"/>
          <w:numId w:val="10"/>
        </w:numPr>
      </w:pPr>
      <w:r>
        <w:t xml:space="preserve">Interactive scatterplot by region (click twice on any region to see the constituent cities for that region). </w:t>
      </w:r>
    </w:p>
    <w:p w14:paraId="1B50D0F4" w14:textId="77777777" w:rsidR="00BC6166" w:rsidRDefault="00BC6166" w:rsidP="00BC6166">
      <w:pPr>
        <w:pStyle w:val="ListNumber"/>
        <w:numPr>
          <w:ilvl w:val="0"/>
          <w:numId w:val="10"/>
        </w:numPr>
      </w:pPr>
      <w:r>
        <w:lastRenderedPageBreak/>
        <w:t xml:space="preserve">Regional box plots (particularly good at showcasing outliers). </w:t>
      </w:r>
    </w:p>
    <w:p w14:paraId="23831511" w14:textId="14C66D03" w:rsidR="009A64FE" w:rsidRDefault="00BC6166" w:rsidP="00BC6166">
      <w:pPr>
        <w:pStyle w:val="ListNumber"/>
        <w:numPr>
          <w:ilvl w:val="0"/>
          <w:numId w:val="10"/>
        </w:numPr>
      </w:pPr>
      <w:r>
        <w:t>Municipality‑level heatmap.</w:t>
      </w:r>
    </w:p>
    <w:p w14:paraId="0A8F6924" w14:textId="77777777" w:rsidR="009A64FE" w:rsidRDefault="00000000">
      <w:pPr>
        <w:pStyle w:val="Heading1"/>
      </w:pPr>
      <w:r>
        <w:t>4. Key Findings</w:t>
      </w:r>
    </w:p>
    <w:p w14:paraId="3AC1352A" w14:textId="0654F762" w:rsidR="009A64FE" w:rsidRDefault="00000000">
      <w:pPr>
        <w:pStyle w:val="ListBullet"/>
      </w:pPr>
      <w:r>
        <w:t xml:space="preserve">Nationwide trend: </w:t>
      </w:r>
      <w:r w:rsidR="006B0FB8">
        <w:t>Almost all</w:t>
      </w:r>
      <w:r>
        <w:t xml:space="preserve"> Philippine municipalities and cities </w:t>
      </w:r>
      <w:r w:rsidR="00BC6166">
        <w:t>have</w:t>
      </w:r>
      <w:r>
        <w:t xml:space="preserve"> positive population growth between 2015 and 2020.</w:t>
      </w:r>
    </w:p>
    <w:p w14:paraId="212150BF" w14:textId="77777777" w:rsidR="009A64FE" w:rsidRDefault="00000000">
      <w:pPr>
        <w:pStyle w:val="ListBullet"/>
      </w:pPr>
      <w:r>
        <w:t>Negative growth outliers: Only two localities—Cotabato Province (−7.6 %) and Navotas City (−0.77 %)—recorded a net loss of residents.</w:t>
      </w:r>
    </w:p>
    <w:p w14:paraId="1623639D" w14:textId="77777777" w:rsidR="009A64FE" w:rsidRDefault="00000000">
      <w:pPr>
        <w:pStyle w:val="ListBullet"/>
      </w:pPr>
      <w:r>
        <w:t>Exceptional surge: Maguindanao Province registered a remarkable +42 % jump, largely due to administrative boundary changes associated with the creation of the Bangsamoro Autonomous Region in Muslim Mindanao (BARMM).</w:t>
      </w:r>
    </w:p>
    <w:p w14:paraId="66B148A9" w14:textId="5235F4DC" w:rsidR="009A64FE" w:rsidRDefault="00000000">
      <w:pPr>
        <w:pStyle w:val="ListBullet"/>
      </w:pPr>
      <w:r>
        <w:t xml:space="preserve">Regional clustering: Visayan growth was propelled by economic hubs such as Cebu (+13 %), while several remote or newly formed </w:t>
      </w:r>
      <w:r w:rsidR="000019D2">
        <w:t>municipalities</w:t>
      </w:r>
      <w:r>
        <w:t xml:space="preserve"> (e.g. Davao Occidental, +0.26 %) grew only marginally.</w:t>
      </w:r>
    </w:p>
    <w:p w14:paraId="235AA1DC" w14:textId="77777777" w:rsidR="000019D2" w:rsidRDefault="000019D2" w:rsidP="000019D2">
      <w:pPr>
        <w:pStyle w:val="ListBullet"/>
        <w:numPr>
          <w:ilvl w:val="0"/>
          <w:numId w:val="0"/>
        </w:numPr>
      </w:pPr>
    </w:p>
    <w:p w14:paraId="2B434AA6" w14:textId="77777777" w:rsidR="000019D2" w:rsidRDefault="000019D2">
      <w:pPr>
        <w:pStyle w:val="Heading2"/>
      </w:pPr>
    </w:p>
    <w:p w14:paraId="67C9A370" w14:textId="77777777" w:rsidR="000019D2" w:rsidRDefault="000019D2">
      <w:pPr>
        <w:pStyle w:val="Heading2"/>
      </w:pPr>
    </w:p>
    <w:p w14:paraId="3A3D784D" w14:textId="4F937A5A" w:rsidR="009A64FE" w:rsidRDefault="00000000">
      <w:pPr>
        <w:pStyle w:val="Heading2"/>
      </w:pPr>
      <w:r>
        <w:t>Comparative Snapshot of Five Notable Localities</w:t>
      </w:r>
    </w:p>
    <w:tbl>
      <w:tblPr>
        <w:tblStyle w:val="TableGrid"/>
        <w:tblW w:w="0" w:type="auto"/>
        <w:tblLook w:val="04A0" w:firstRow="1" w:lastRow="0" w:firstColumn="1" w:lastColumn="0" w:noHBand="0" w:noVBand="1"/>
      </w:tblPr>
      <w:tblGrid>
        <w:gridCol w:w="8630"/>
      </w:tblGrid>
      <w:tr w:rsidR="000019D2" w14:paraId="5D436F53" w14:textId="77777777" w:rsidTr="000019D2">
        <w:tc>
          <w:tcPr>
            <w:tcW w:w="8630" w:type="dxa"/>
          </w:tcPr>
          <w:tbl>
            <w:tblPr>
              <w:tblStyle w:val="TableGridLight"/>
              <w:tblW w:w="8872" w:type="dxa"/>
              <w:tblLook w:val="04A0" w:firstRow="1" w:lastRow="0" w:firstColumn="1" w:lastColumn="0" w:noHBand="0" w:noVBand="1"/>
            </w:tblPr>
            <w:tblGrid>
              <w:gridCol w:w="2962"/>
              <w:gridCol w:w="2934"/>
              <w:gridCol w:w="2976"/>
            </w:tblGrid>
            <w:tr w:rsidR="000019D2" w:rsidRPr="000019D2" w14:paraId="0C139010" w14:textId="77777777" w:rsidTr="000019D2">
              <w:trPr>
                <w:trHeight w:val="282"/>
              </w:trPr>
              <w:tc>
                <w:tcPr>
                  <w:tcW w:w="2962" w:type="dxa"/>
                </w:tcPr>
                <w:p w14:paraId="3CEC3FA7" w14:textId="77777777" w:rsidR="000019D2" w:rsidRPr="000019D2" w:rsidRDefault="000019D2" w:rsidP="00E21C2A">
                  <w:r w:rsidRPr="000019D2">
                    <w:t>Municipality</w:t>
                  </w:r>
                </w:p>
              </w:tc>
              <w:tc>
                <w:tcPr>
                  <w:tcW w:w="2934" w:type="dxa"/>
                </w:tcPr>
                <w:p w14:paraId="4E52CD06" w14:textId="77777777" w:rsidR="000019D2" w:rsidRPr="000019D2" w:rsidRDefault="000019D2" w:rsidP="00E21C2A">
                  <w:r w:rsidRPr="000019D2">
                    <w:t>Growth Rate</w:t>
                  </w:r>
                </w:p>
              </w:tc>
              <w:tc>
                <w:tcPr>
                  <w:tcW w:w="2976" w:type="dxa"/>
                </w:tcPr>
                <w:p w14:paraId="59903379" w14:textId="77777777" w:rsidR="000019D2" w:rsidRPr="000019D2" w:rsidRDefault="000019D2" w:rsidP="00E21C2A">
                  <w:r w:rsidRPr="000019D2">
                    <w:t>Primary Drivers</w:t>
                  </w:r>
                </w:p>
              </w:tc>
            </w:tr>
            <w:tr w:rsidR="000019D2" w:rsidRPr="000019D2" w14:paraId="4A97138E" w14:textId="77777777" w:rsidTr="000019D2">
              <w:trPr>
                <w:trHeight w:val="1149"/>
              </w:trPr>
              <w:tc>
                <w:tcPr>
                  <w:tcW w:w="2962" w:type="dxa"/>
                </w:tcPr>
                <w:p w14:paraId="658A66E3" w14:textId="77777777" w:rsidR="000019D2" w:rsidRPr="000019D2" w:rsidRDefault="000019D2" w:rsidP="00E21C2A">
                  <w:r w:rsidRPr="000019D2">
                    <w:t xml:space="preserve">Cotabato </w:t>
                  </w:r>
                </w:p>
              </w:tc>
              <w:tc>
                <w:tcPr>
                  <w:tcW w:w="2934" w:type="dxa"/>
                </w:tcPr>
                <w:p w14:paraId="099A11B2" w14:textId="77777777" w:rsidR="000019D2" w:rsidRPr="000019D2" w:rsidRDefault="000019D2" w:rsidP="00E21C2A">
                  <w:r w:rsidRPr="000019D2">
                    <w:t>−7.6 %</w:t>
                  </w:r>
                </w:p>
              </w:tc>
              <w:tc>
                <w:tcPr>
                  <w:tcW w:w="2976" w:type="dxa"/>
                </w:tcPr>
                <w:p w14:paraId="76A59D79" w14:textId="77777777" w:rsidR="000019D2" w:rsidRPr="000019D2" w:rsidRDefault="000019D2" w:rsidP="00E21C2A">
                  <w:r w:rsidRPr="000019D2">
                    <w:t>Armed conflict &amp; displacement; 2019 earthquakes; 63 barangays carved out into BARMM.</w:t>
                  </w:r>
                </w:p>
              </w:tc>
            </w:tr>
            <w:tr w:rsidR="000019D2" w:rsidRPr="000019D2" w14:paraId="01D308F1" w14:textId="77777777" w:rsidTr="000019D2">
              <w:trPr>
                <w:trHeight w:val="1149"/>
              </w:trPr>
              <w:tc>
                <w:tcPr>
                  <w:tcW w:w="2962" w:type="dxa"/>
                </w:tcPr>
                <w:p w14:paraId="20D61E4E" w14:textId="77777777" w:rsidR="000019D2" w:rsidRPr="000019D2" w:rsidRDefault="000019D2" w:rsidP="00E21C2A">
                  <w:proofErr w:type="spellStart"/>
                  <w:r w:rsidRPr="000019D2">
                    <w:t>Navotas</w:t>
                  </w:r>
                  <w:proofErr w:type="spellEnd"/>
                  <w:r w:rsidRPr="000019D2">
                    <w:t xml:space="preserve"> </w:t>
                  </w:r>
                </w:p>
              </w:tc>
              <w:tc>
                <w:tcPr>
                  <w:tcW w:w="2934" w:type="dxa"/>
                </w:tcPr>
                <w:p w14:paraId="51556981" w14:textId="77777777" w:rsidR="000019D2" w:rsidRPr="000019D2" w:rsidRDefault="000019D2" w:rsidP="00E21C2A">
                  <w:r w:rsidRPr="000019D2">
                    <w:t>−0.77 %</w:t>
                  </w:r>
                </w:p>
              </w:tc>
              <w:tc>
                <w:tcPr>
                  <w:tcW w:w="2976" w:type="dxa"/>
                </w:tcPr>
                <w:p w14:paraId="54BD6B87" w14:textId="77777777" w:rsidR="000019D2" w:rsidRPr="000019D2" w:rsidRDefault="000019D2" w:rsidP="00E21C2A">
                  <w:r w:rsidRPr="000019D2">
                    <w:t>Urban saturation; net out‑migration to peri‑urban provinces; falling fertility.</w:t>
                  </w:r>
                </w:p>
              </w:tc>
            </w:tr>
            <w:tr w:rsidR="000019D2" w:rsidRPr="000019D2" w14:paraId="64EC3730" w14:textId="77777777" w:rsidTr="000019D2">
              <w:trPr>
                <w:trHeight w:val="1168"/>
              </w:trPr>
              <w:tc>
                <w:tcPr>
                  <w:tcW w:w="2962" w:type="dxa"/>
                </w:tcPr>
                <w:p w14:paraId="180AB270" w14:textId="77777777" w:rsidR="000019D2" w:rsidRPr="000019D2" w:rsidRDefault="000019D2" w:rsidP="00E21C2A">
                  <w:r w:rsidRPr="000019D2">
                    <w:t xml:space="preserve">Maguindanao </w:t>
                  </w:r>
                </w:p>
              </w:tc>
              <w:tc>
                <w:tcPr>
                  <w:tcW w:w="2934" w:type="dxa"/>
                </w:tcPr>
                <w:p w14:paraId="6D6C1E98" w14:textId="77777777" w:rsidR="000019D2" w:rsidRPr="000019D2" w:rsidRDefault="000019D2" w:rsidP="00E21C2A">
                  <w:r w:rsidRPr="000019D2">
                    <w:t>+42 %</w:t>
                  </w:r>
                </w:p>
              </w:tc>
              <w:tc>
                <w:tcPr>
                  <w:tcW w:w="2976" w:type="dxa"/>
                </w:tcPr>
                <w:p w14:paraId="67DEAEFE" w14:textId="77777777" w:rsidR="000019D2" w:rsidRPr="000019D2" w:rsidRDefault="000019D2" w:rsidP="00E21C2A">
                  <w:r w:rsidRPr="000019D2">
                    <w:t>Annexation of new barangays &amp; Cotabato City into BARMM; resettlement; high fertility.</w:t>
                  </w:r>
                </w:p>
              </w:tc>
            </w:tr>
            <w:tr w:rsidR="000019D2" w:rsidRPr="000019D2" w14:paraId="49A94F06" w14:textId="77777777" w:rsidTr="000019D2">
              <w:trPr>
                <w:trHeight w:val="1149"/>
              </w:trPr>
              <w:tc>
                <w:tcPr>
                  <w:tcW w:w="2962" w:type="dxa"/>
                </w:tcPr>
                <w:p w14:paraId="550E2260" w14:textId="77777777" w:rsidR="000019D2" w:rsidRPr="000019D2" w:rsidRDefault="000019D2" w:rsidP="00E21C2A">
                  <w:r w:rsidRPr="000019D2">
                    <w:t xml:space="preserve">Cebu </w:t>
                  </w:r>
                </w:p>
              </w:tc>
              <w:tc>
                <w:tcPr>
                  <w:tcW w:w="2934" w:type="dxa"/>
                </w:tcPr>
                <w:p w14:paraId="1A4992F8" w14:textId="77777777" w:rsidR="000019D2" w:rsidRPr="000019D2" w:rsidRDefault="000019D2" w:rsidP="00E21C2A">
                  <w:r w:rsidRPr="000019D2">
                    <w:t>+13 %</w:t>
                  </w:r>
                </w:p>
              </w:tc>
              <w:tc>
                <w:tcPr>
                  <w:tcW w:w="2976" w:type="dxa"/>
                </w:tcPr>
                <w:p w14:paraId="1398029F" w14:textId="77777777" w:rsidR="000019D2" w:rsidRPr="000019D2" w:rsidRDefault="000019D2" w:rsidP="00E21C2A">
                  <w:r w:rsidRPr="000019D2">
                    <w:t>Job creation (tourism, IT‑BPO, manufacturing); infrastructure upgrades; migration.</w:t>
                  </w:r>
                </w:p>
              </w:tc>
            </w:tr>
            <w:tr w:rsidR="000019D2" w:rsidRPr="000019D2" w14:paraId="1E7FC844" w14:textId="77777777" w:rsidTr="000019D2">
              <w:trPr>
                <w:trHeight w:val="847"/>
              </w:trPr>
              <w:tc>
                <w:tcPr>
                  <w:tcW w:w="2962" w:type="dxa"/>
                </w:tcPr>
                <w:p w14:paraId="7F497B08" w14:textId="77777777" w:rsidR="000019D2" w:rsidRPr="000019D2" w:rsidRDefault="000019D2" w:rsidP="00E21C2A">
                  <w:r w:rsidRPr="000019D2">
                    <w:t xml:space="preserve">Davao Occidental </w:t>
                  </w:r>
                </w:p>
              </w:tc>
              <w:tc>
                <w:tcPr>
                  <w:tcW w:w="2934" w:type="dxa"/>
                </w:tcPr>
                <w:p w14:paraId="4101EAA7" w14:textId="77777777" w:rsidR="000019D2" w:rsidRPr="000019D2" w:rsidRDefault="000019D2" w:rsidP="00E21C2A">
                  <w:r w:rsidRPr="000019D2">
                    <w:t>+0.26 %</w:t>
                  </w:r>
                </w:p>
              </w:tc>
              <w:tc>
                <w:tcPr>
                  <w:tcW w:w="2976" w:type="dxa"/>
                </w:tcPr>
                <w:p w14:paraId="0193CF2E" w14:textId="77777777" w:rsidR="000019D2" w:rsidRPr="000019D2" w:rsidRDefault="000019D2" w:rsidP="00E21C2A">
                  <w:r w:rsidRPr="000019D2">
                    <w:t>Remote geography; limited industrial base; youth out‑migration.</w:t>
                  </w:r>
                </w:p>
              </w:tc>
            </w:tr>
          </w:tbl>
          <w:p w14:paraId="2732A728" w14:textId="77777777" w:rsidR="000019D2" w:rsidRDefault="000019D2"/>
        </w:tc>
      </w:tr>
    </w:tbl>
    <w:p w14:paraId="12969C9A" w14:textId="77777777" w:rsidR="000019D2" w:rsidRDefault="000019D2">
      <w:pPr>
        <w:pStyle w:val="Heading1"/>
      </w:pPr>
    </w:p>
    <w:p w14:paraId="048DD446" w14:textId="37027B8D" w:rsidR="009A64FE" w:rsidRDefault="00000000">
      <w:pPr>
        <w:pStyle w:val="Heading1"/>
      </w:pPr>
      <w:r>
        <w:t>5. Limitations</w:t>
      </w:r>
    </w:p>
    <w:p w14:paraId="50153EDF" w14:textId="49B2D928" w:rsidR="009A64FE" w:rsidRDefault="00000000">
      <w:pPr>
        <w:pStyle w:val="ListBullet"/>
      </w:pPr>
      <w:r>
        <w:t xml:space="preserve">Temporal granularity – Five‑year intervals hide short‑term </w:t>
      </w:r>
      <w:r w:rsidR="00BC6166">
        <w:t>climate</w:t>
      </w:r>
      <w:r>
        <w:t xml:space="preserve"> shocks (e.g. typhoons, pandemic‑era shifts).</w:t>
      </w:r>
    </w:p>
    <w:p w14:paraId="5A19C8C0" w14:textId="73764FDC" w:rsidR="009A64FE" w:rsidRDefault="00000000">
      <w:pPr>
        <w:pStyle w:val="ListBullet"/>
      </w:pPr>
      <w:r>
        <w:t xml:space="preserve">Data gaps – Household‑level attributes </w:t>
      </w:r>
      <w:r w:rsidR="006B0FB8">
        <w:t>data</w:t>
      </w:r>
      <w:r>
        <w:t xml:space="preserve"> </w:t>
      </w:r>
      <w:r w:rsidR="006B0FB8">
        <w:t>is</w:t>
      </w:r>
      <w:r>
        <w:t xml:space="preserve"> </w:t>
      </w:r>
      <w:r w:rsidR="006B0FB8">
        <w:t>only available for the 2020 census.</w:t>
      </w:r>
    </w:p>
    <w:p w14:paraId="2A37627D" w14:textId="77777777" w:rsidR="009A64FE" w:rsidRDefault="00000000">
      <w:pPr>
        <w:pStyle w:val="ListBullet"/>
      </w:pPr>
      <w:r>
        <w:t>Geocoding accuracy – Some rural barangays have approximate coordinates, introducing minor spatial error.</w:t>
      </w:r>
    </w:p>
    <w:p w14:paraId="32DD68C4" w14:textId="77777777" w:rsidR="006B0FB8" w:rsidRDefault="006B0FB8" w:rsidP="006B0FB8">
      <w:pPr>
        <w:pStyle w:val="ListBullet"/>
        <w:numPr>
          <w:ilvl w:val="0"/>
          <w:numId w:val="0"/>
        </w:numPr>
        <w:ind w:left="360" w:hanging="360"/>
      </w:pPr>
    </w:p>
    <w:p w14:paraId="3749A4E8" w14:textId="77777777" w:rsidR="006B0FB8" w:rsidRDefault="006B0FB8" w:rsidP="006B0FB8">
      <w:pPr>
        <w:pStyle w:val="ListBullet"/>
        <w:numPr>
          <w:ilvl w:val="0"/>
          <w:numId w:val="0"/>
        </w:numPr>
        <w:ind w:left="360" w:hanging="360"/>
      </w:pPr>
    </w:p>
    <w:p w14:paraId="300DDD0E" w14:textId="262A68BA" w:rsidR="006B0FB8" w:rsidRPr="006B0FB8" w:rsidRDefault="006B0FB8" w:rsidP="006B0FB8">
      <w:pPr>
        <w:pStyle w:val="ListBullet"/>
        <w:numPr>
          <w:ilvl w:val="0"/>
          <w:numId w:val="0"/>
        </w:numPr>
        <w:ind w:left="360" w:hanging="360"/>
        <w:rPr>
          <w:i/>
          <w:iCs/>
        </w:rPr>
      </w:pPr>
      <w:r w:rsidRPr="006B0FB8">
        <w:rPr>
          <w:i/>
          <w:iCs/>
        </w:rPr>
        <w:t>Author: Magd Shamashan / May 23, 2025</w:t>
      </w:r>
    </w:p>
    <w:p w14:paraId="1225F337" w14:textId="08E98CB0" w:rsidR="009A64FE" w:rsidRDefault="009A64FE"/>
    <w:sectPr w:rsidR="009A64F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8A27C36"/>
    <w:multiLevelType w:val="hybridMultilevel"/>
    <w:tmpl w:val="0742D690"/>
    <w:lvl w:ilvl="0" w:tplc="28769A96">
      <w:start w:val="21"/>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116604768">
    <w:abstractNumId w:val="8"/>
  </w:num>
  <w:num w:numId="2" w16cid:durableId="992368056">
    <w:abstractNumId w:val="6"/>
  </w:num>
  <w:num w:numId="3" w16cid:durableId="1356813028">
    <w:abstractNumId w:val="5"/>
  </w:num>
  <w:num w:numId="4" w16cid:durableId="1195312376">
    <w:abstractNumId w:val="4"/>
  </w:num>
  <w:num w:numId="5" w16cid:durableId="798108625">
    <w:abstractNumId w:val="7"/>
  </w:num>
  <w:num w:numId="6" w16cid:durableId="206652">
    <w:abstractNumId w:val="3"/>
  </w:num>
  <w:num w:numId="7" w16cid:durableId="132217664">
    <w:abstractNumId w:val="2"/>
  </w:num>
  <w:num w:numId="8" w16cid:durableId="1645114943">
    <w:abstractNumId w:val="1"/>
  </w:num>
  <w:num w:numId="9" w16cid:durableId="1209024678">
    <w:abstractNumId w:val="0"/>
  </w:num>
  <w:num w:numId="10" w16cid:durableId="2824650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9D2"/>
    <w:rsid w:val="00034616"/>
    <w:rsid w:val="0006063C"/>
    <w:rsid w:val="0015074B"/>
    <w:rsid w:val="0029639D"/>
    <w:rsid w:val="00326F90"/>
    <w:rsid w:val="004051C7"/>
    <w:rsid w:val="006B0FB8"/>
    <w:rsid w:val="009A64FE"/>
    <w:rsid w:val="00AA1D8D"/>
    <w:rsid w:val="00B47730"/>
    <w:rsid w:val="00BC616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FB73CF"/>
  <w14:defaultImageDpi w14:val="300"/>
  <w15:docId w15:val="{D537A0EE-7C1F-0C41-B121-79A0BFE20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PlainTable1">
    <w:name w:val="Plain Table 1"/>
    <w:basedOn w:val="TableNormal"/>
    <w:uiPriority w:val="99"/>
    <w:rsid w:val="000019D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9"/>
    <w:rsid w:val="000019D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99"/>
    <w:rsid w:val="000019D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99"/>
    <w:rsid w:val="000019D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99"/>
    <w:rsid w:val="000019D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99"/>
    <w:rsid w:val="000019D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1">
    <w:name w:val="Grid Table 1 Light Accent 1"/>
    <w:basedOn w:val="TableNormal"/>
    <w:uiPriority w:val="46"/>
    <w:rsid w:val="000019D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0019D2"/>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0019D2"/>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469</Words>
  <Characters>2736</Characters>
  <Application>Microsoft Office Word</Application>
  <DocSecurity>0</DocSecurity>
  <Lines>54</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Shamashan Magd</cp:lastModifiedBy>
  <cp:revision>4</cp:revision>
  <dcterms:created xsi:type="dcterms:W3CDTF">2025-05-23T16:39:00Z</dcterms:created>
  <dcterms:modified xsi:type="dcterms:W3CDTF">2025-05-23T17:03:00Z</dcterms:modified>
  <cp:category/>
</cp:coreProperties>
</file>