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954C" w14:textId="57C1AEBC" w:rsidR="00B025D6" w:rsidRPr="00B025D6" w:rsidRDefault="00B025D6">
      <w:pPr>
        <w:rPr>
          <w:rFonts w:ascii="Segoe UI" w:hAnsi="Segoe UI" w:cs="Segoe UI"/>
          <w:b/>
          <w:bCs/>
          <w:color w:val="333333"/>
          <w:sz w:val="44"/>
          <w:szCs w:val="44"/>
          <w:shd w:val="clear" w:color="auto" w:fill="FCFCFC"/>
        </w:rPr>
      </w:pPr>
      <w:r w:rsidRPr="00B025D6">
        <w:rPr>
          <w:rFonts w:ascii="Segoe UI" w:hAnsi="Segoe UI" w:cs="Segoe UI"/>
          <w:b/>
          <w:bCs/>
          <w:color w:val="333333"/>
          <w:sz w:val="44"/>
          <w:szCs w:val="44"/>
          <w:shd w:val="clear" w:color="auto" w:fill="FCFCFC"/>
        </w:rPr>
        <w:t>C</w:t>
      </w:r>
      <w:r w:rsidRPr="00B025D6">
        <w:rPr>
          <w:rFonts w:ascii="Segoe UI" w:hAnsi="Segoe UI" w:cs="Segoe UI"/>
          <w:b/>
          <w:bCs/>
          <w:color w:val="333333"/>
          <w:sz w:val="44"/>
          <w:szCs w:val="44"/>
          <w:shd w:val="clear" w:color="auto" w:fill="FCFCFC"/>
        </w:rPr>
        <w:t xml:space="preserve">orporate employee attrition analytics </w:t>
      </w:r>
    </w:p>
    <w:p w14:paraId="3C59553D" w14:textId="77777777" w:rsidR="00B025D6" w:rsidRPr="00B025D6" w:rsidRDefault="00B025D6">
      <w:pPr>
        <w:rPr>
          <w:rFonts w:ascii="Segoe UI" w:hAnsi="Segoe UI" w:cs="Segoe UI"/>
          <w:b/>
          <w:bCs/>
          <w:i/>
          <w:iCs/>
          <w:color w:val="333333"/>
          <w:sz w:val="44"/>
          <w:szCs w:val="44"/>
          <w:shd w:val="clear" w:color="auto" w:fill="FCFCFC"/>
        </w:rPr>
      </w:pPr>
    </w:p>
    <w:p w14:paraId="30C9A699" w14:textId="5783727E" w:rsidR="00B025D6" w:rsidRDefault="00B025D6">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LITERATURE SURVEY</w:t>
      </w:r>
    </w:p>
    <w:p w14:paraId="748C2CB9" w14:textId="77777777" w:rsidR="00B025D6" w:rsidRDefault="00B025D6">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 xml:space="preserve">Employee churn is an unsolicited aftermath of our blooming economy. Attrition may be defined as voluntary or involuntary resignation of a serving employee from an organization. Employee churn can incur a colossal cost to the firm. However, furtherance to prediction and control over attrition can give quality results. </w:t>
      </w:r>
    </w:p>
    <w:p w14:paraId="6C7F7E88" w14:textId="4A27D110" w:rsidR="00B025D6" w:rsidRDefault="00B025D6">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Earmarking the </w:t>
      </w:r>
      <w:r>
        <w:rPr>
          <w:rFonts w:ascii="Segoe UI" w:hAnsi="Segoe UI" w:cs="Segoe UI"/>
          <w:i/>
          <w:iCs/>
          <w:color w:val="333333"/>
          <w:sz w:val="27"/>
          <w:szCs w:val="27"/>
          <w:shd w:val="clear" w:color="auto" w:fill="FCFCFC"/>
        </w:rPr>
        <w:t>risk of attrition,</w:t>
      </w:r>
      <w:r>
        <w:rPr>
          <w:rFonts w:ascii="Segoe UI" w:hAnsi="Segoe UI" w:cs="Segoe UI"/>
          <w:color w:val="333333"/>
          <w:sz w:val="27"/>
          <w:szCs w:val="27"/>
          <w:shd w:val="clear" w:color="auto" w:fill="FCFCFC"/>
        </w:rPr>
        <w:t> the management can take required steps to retain the high valued talent. Workforce Analytics can be applied to reduce the overall business risk by predicting the employee churn. Predictive Analytics is the field of study that employs statistical analysis, data mining techniques and machine learning to predict the future events with accuracy based on past and current situation. The paper presents a framework for predicting the employee attrition with respect to voluntary termination employing predictive analytics</w:t>
      </w:r>
      <w:r>
        <w:rPr>
          <w:rFonts w:ascii="Segoe UI" w:hAnsi="Segoe UI" w:cs="Segoe UI"/>
          <w:color w:val="333333"/>
          <w:sz w:val="27"/>
          <w:szCs w:val="27"/>
          <w:shd w:val="clear" w:color="auto" w:fill="FCFCFC"/>
        </w:rPr>
        <w:t xml:space="preserve">   </w:t>
      </w:r>
    </w:p>
    <w:p w14:paraId="37E7BCAF" w14:textId="503E5D17" w:rsidR="00B025D6" w:rsidRDefault="00B025D6">
      <w:pPr>
        <w:rPr>
          <w:rFonts w:ascii="Segoe UI" w:hAnsi="Segoe UI" w:cs="Segoe UI"/>
          <w:color w:val="333333"/>
          <w:sz w:val="27"/>
          <w:szCs w:val="27"/>
          <w:shd w:val="clear" w:color="auto" w:fill="FCFCFC"/>
        </w:rPr>
      </w:pPr>
    </w:p>
    <w:p w14:paraId="047D8DA5" w14:textId="228125A5" w:rsidR="00B025D6" w:rsidRPr="00B025D6" w:rsidRDefault="00B025D6" w:rsidP="00B025D6">
      <w:pPr>
        <w:pBdr>
          <w:bottom w:val="single" w:sz="12" w:space="6" w:color="D5D5D5"/>
        </w:pBdr>
        <w:spacing w:after="0" w:line="240" w:lineRule="auto"/>
        <w:outlineLvl w:val="1"/>
        <w:rPr>
          <w:rFonts w:ascii="Georgia" w:eastAsia="Times New Roman" w:hAnsi="Georgia" w:cs="Times New Roman"/>
          <w:sz w:val="36"/>
          <w:szCs w:val="36"/>
          <w:lang w:eastAsia="en-IN"/>
        </w:rPr>
      </w:pPr>
      <w:r w:rsidRPr="00B025D6">
        <w:rPr>
          <w:rFonts w:ascii="Georgia" w:eastAsia="Times New Roman" w:hAnsi="Georgia" w:cs="Times New Roman"/>
          <w:sz w:val="36"/>
          <w:szCs w:val="36"/>
          <w:lang w:eastAsia="en-IN"/>
        </w:rPr>
        <w:t>Reference</w:t>
      </w:r>
    </w:p>
    <w:p w14:paraId="5FAFA31E" w14:textId="77777777" w:rsidR="00B025D6" w:rsidRPr="00B025D6" w:rsidRDefault="00B025D6" w:rsidP="00B025D6">
      <w:pPr>
        <w:numPr>
          <w:ilvl w:val="0"/>
          <w:numId w:val="1"/>
        </w:numPr>
        <w:pBdr>
          <w:bottom w:val="single" w:sz="6" w:space="12" w:color="D5D5D5"/>
        </w:pBdr>
        <w:spacing w:after="0" w:line="240" w:lineRule="auto"/>
        <w:rPr>
          <w:rFonts w:ascii="Times New Roman" w:eastAsia="Times New Roman" w:hAnsi="Times New Roman" w:cs="Times New Roman"/>
          <w:sz w:val="24"/>
          <w:szCs w:val="24"/>
          <w:lang w:eastAsia="en-IN"/>
        </w:rPr>
      </w:pPr>
      <w:r w:rsidRPr="00B025D6">
        <w:rPr>
          <w:rFonts w:ascii="Times New Roman" w:eastAsia="Times New Roman" w:hAnsi="Times New Roman" w:cs="Times New Roman"/>
          <w:sz w:val="24"/>
          <w:szCs w:val="24"/>
          <w:lang w:eastAsia="en-IN"/>
        </w:rPr>
        <w:t>The Cost of Employee turnover (2014). </w:t>
      </w:r>
      <w:hyperlink r:id="rId5" w:history="1">
        <w:r w:rsidRPr="00B025D6">
          <w:rPr>
            <w:rFonts w:ascii="Times New Roman" w:eastAsia="Times New Roman" w:hAnsi="Times New Roman" w:cs="Times New Roman"/>
            <w:color w:val="004B83"/>
            <w:sz w:val="24"/>
            <w:szCs w:val="24"/>
            <w:u w:val="single"/>
            <w:lang w:eastAsia="en-IN"/>
          </w:rPr>
          <w:t>http://www.zenworkplace.com/2014/07/01/cost-employee-turnover/</w:t>
        </w:r>
      </w:hyperlink>
    </w:p>
    <w:p w14:paraId="7011AE3B" w14:textId="77777777" w:rsidR="00B025D6" w:rsidRPr="00B025D6" w:rsidRDefault="00B025D6" w:rsidP="00B025D6">
      <w:pPr>
        <w:numPr>
          <w:ilvl w:val="0"/>
          <w:numId w:val="1"/>
        </w:numPr>
        <w:pBdr>
          <w:bottom w:val="single" w:sz="6" w:space="12" w:color="D5D5D5"/>
        </w:pBdr>
        <w:spacing w:after="120" w:line="240" w:lineRule="auto"/>
        <w:rPr>
          <w:rFonts w:ascii="Times New Roman" w:eastAsia="Times New Roman" w:hAnsi="Times New Roman" w:cs="Times New Roman"/>
          <w:sz w:val="24"/>
          <w:szCs w:val="24"/>
          <w:lang w:eastAsia="en-IN"/>
        </w:rPr>
      </w:pPr>
      <w:proofErr w:type="spellStart"/>
      <w:r w:rsidRPr="00B025D6">
        <w:rPr>
          <w:rFonts w:ascii="Times New Roman" w:eastAsia="Times New Roman" w:hAnsi="Times New Roman" w:cs="Times New Roman"/>
          <w:sz w:val="24"/>
          <w:szCs w:val="24"/>
          <w:lang w:eastAsia="en-IN"/>
        </w:rPr>
        <w:t>Strohmeier</w:t>
      </w:r>
      <w:proofErr w:type="spellEnd"/>
      <w:r w:rsidRPr="00B025D6">
        <w:rPr>
          <w:rFonts w:ascii="Times New Roman" w:eastAsia="Times New Roman" w:hAnsi="Times New Roman" w:cs="Times New Roman"/>
          <w:sz w:val="24"/>
          <w:szCs w:val="24"/>
          <w:lang w:eastAsia="en-IN"/>
        </w:rPr>
        <w:t>, S., Piazza, F.: Domain driven data mining in human resource management: a review of current research. Expert Syst. Appl. </w:t>
      </w:r>
      <w:r w:rsidRPr="00B025D6">
        <w:rPr>
          <w:rFonts w:ascii="Times New Roman" w:eastAsia="Times New Roman" w:hAnsi="Times New Roman" w:cs="Times New Roman"/>
          <w:b/>
          <w:bCs/>
          <w:sz w:val="24"/>
          <w:szCs w:val="24"/>
          <w:lang w:eastAsia="en-IN"/>
        </w:rPr>
        <w:t>40</w:t>
      </w:r>
      <w:r w:rsidRPr="00B025D6">
        <w:rPr>
          <w:rFonts w:ascii="Times New Roman" w:eastAsia="Times New Roman" w:hAnsi="Times New Roman" w:cs="Times New Roman"/>
          <w:sz w:val="24"/>
          <w:szCs w:val="24"/>
          <w:lang w:eastAsia="en-IN"/>
        </w:rPr>
        <w:t>(7), 2410–2420 (2013)</w:t>
      </w:r>
    </w:p>
    <w:p w14:paraId="715602B2" w14:textId="375A5CF1" w:rsidR="00B025D6" w:rsidRPr="00B025D6" w:rsidRDefault="00B025D6" w:rsidP="00B025D6">
      <w:pPr>
        <w:pBdr>
          <w:bottom w:val="single" w:sz="6" w:space="12" w:color="D5D5D5"/>
        </w:pBdr>
        <w:spacing w:after="0" w:line="240" w:lineRule="auto"/>
        <w:ind w:left="360"/>
        <w:rPr>
          <w:rFonts w:ascii="Segoe UI" w:eastAsia="Times New Roman" w:hAnsi="Segoe UI" w:cs="Segoe UI"/>
          <w:b/>
          <w:bCs/>
          <w:sz w:val="24"/>
          <w:szCs w:val="24"/>
          <w:lang w:eastAsia="en-IN"/>
        </w:rPr>
      </w:pPr>
    </w:p>
    <w:p w14:paraId="0BB24AD9" w14:textId="77777777" w:rsidR="00B025D6" w:rsidRPr="00B025D6" w:rsidRDefault="00B025D6" w:rsidP="00B025D6">
      <w:pPr>
        <w:numPr>
          <w:ilvl w:val="0"/>
          <w:numId w:val="1"/>
        </w:numPr>
        <w:pBdr>
          <w:bottom w:val="single" w:sz="6" w:space="12" w:color="D5D5D5"/>
        </w:pBdr>
        <w:spacing w:after="120" w:line="240" w:lineRule="auto"/>
        <w:rPr>
          <w:rFonts w:ascii="Times New Roman" w:eastAsia="Times New Roman" w:hAnsi="Times New Roman" w:cs="Times New Roman"/>
          <w:sz w:val="24"/>
          <w:szCs w:val="24"/>
          <w:lang w:eastAsia="en-IN"/>
        </w:rPr>
      </w:pPr>
      <w:proofErr w:type="spellStart"/>
      <w:r w:rsidRPr="00B025D6">
        <w:rPr>
          <w:rFonts w:ascii="Times New Roman" w:eastAsia="Times New Roman" w:hAnsi="Times New Roman" w:cs="Times New Roman"/>
          <w:sz w:val="24"/>
          <w:szCs w:val="24"/>
          <w:lang w:eastAsia="en-IN"/>
        </w:rPr>
        <w:t>Alao</w:t>
      </w:r>
      <w:proofErr w:type="spellEnd"/>
      <w:r w:rsidRPr="00B025D6">
        <w:rPr>
          <w:rFonts w:ascii="Times New Roman" w:eastAsia="Times New Roman" w:hAnsi="Times New Roman" w:cs="Times New Roman"/>
          <w:sz w:val="24"/>
          <w:szCs w:val="24"/>
          <w:lang w:eastAsia="en-IN"/>
        </w:rPr>
        <w:t xml:space="preserve">, D., Adeyemo, A.B.: </w:t>
      </w:r>
      <w:proofErr w:type="spellStart"/>
      <w:r w:rsidRPr="00B025D6">
        <w:rPr>
          <w:rFonts w:ascii="Times New Roman" w:eastAsia="Times New Roman" w:hAnsi="Times New Roman" w:cs="Times New Roman"/>
          <w:sz w:val="24"/>
          <w:szCs w:val="24"/>
          <w:lang w:eastAsia="en-IN"/>
        </w:rPr>
        <w:t>Analyzing</w:t>
      </w:r>
      <w:proofErr w:type="spellEnd"/>
      <w:r w:rsidRPr="00B025D6">
        <w:rPr>
          <w:rFonts w:ascii="Times New Roman" w:eastAsia="Times New Roman" w:hAnsi="Times New Roman" w:cs="Times New Roman"/>
          <w:sz w:val="24"/>
          <w:szCs w:val="24"/>
          <w:lang w:eastAsia="en-IN"/>
        </w:rPr>
        <w:t xml:space="preserve"> employee attrition using decision tree algorithms. </w:t>
      </w:r>
      <w:proofErr w:type="spellStart"/>
      <w:r w:rsidRPr="00B025D6">
        <w:rPr>
          <w:rFonts w:ascii="Times New Roman" w:eastAsia="Times New Roman" w:hAnsi="Times New Roman" w:cs="Times New Roman"/>
          <w:sz w:val="24"/>
          <w:szCs w:val="24"/>
          <w:lang w:eastAsia="en-IN"/>
        </w:rPr>
        <w:t>Comput</w:t>
      </w:r>
      <w:proofErr w:type="spellEnd"/>
      <w:r w:rsidRPr="00B025D6">
        <w:rPr>
          <w:rFonts w:ascii="Times New Roman" w:eastAsia="Times New Roman" w:hAnsi="Times New Roman" w:cs="Times New Roman"/>
          <w:sz w:val="24"/>
          <w:szCs w:val="24"/>
          <w:lang w:eastAsia="en-IN"/>
        </w:rPr>
        <w:t>. Inf. Syst. Dev. Inf. Allied Res. J. </w:t>
      </w:r>
      <w:r w:rsidRPr="00B025D6">
        <w:rPr>
          <w:rFonts w:ascii="Times New Roman" w:eastAsia="Times New Roman" w:hAnsi="Times New Roman" w:cs="Times New Roman"/>
          <w:b/>
          <w:bCs/>
          <w:sz w:val="24"/>
          <w:szCs w:val="24"/>
          <w:lang w:eastAsia="en-IN"/>
        </w:rPr>
        <w:t>4</w:t>
      </w:r>
      <w:r w:rsidRPr="00B025D6">
        <w:rPr>
          <w:rFonts w:ascii="Times New Roman" w:eastAsia="Times New Roman" w:hAnsi="Times New Roman" w:cs="Times New Roman"/>
          <w:sz w:val="24"/>
          <w:szCs w:val="24"/>
          <w:lang w:eastAsia="en-IN"/>
        </w:rPr>
        <w:t> (2013)</w:t>
      </w:r>
    </w:p>
    <w:p w14:paraId="51EE14C3" w14:textId="0E17DFE7" w:rsidR="00B025D6" w:rsidRPr="00B025D6" w:rsidRDefault="00B025D6" w:rsidP="00B025D6">
      <w:pPr>
        <w:pBdr>
          <w:bottom w:val="single" w:sz="6" w:space="12" w:color="D5D5D5"/>
        </w:pBdr>
        <w:spacing w:after="0" w:line="240" w:lineRule="auto"/>
        <w:ind w:left="360"/>
        <w:rPr>
          <w:rFonts w:ascii="Segoe UI" w:eastAsia="Times New Roman" w:hAnsi="Segoe UI" w:cs="Segoe UI"/>
          <w:b/>
          <w:bCs/>
          <w:sz w:val="24"/>
          <w:szCs w:val="24"/>
          <w:lang w:eastAsia="en-IN"/>
        </w:rPr>
      </w:pPr>
    </w:p>
    <w:p w14:paraId="359F63F1" w14:textId="77777777" w:rsidR="00B025D6" w:rsidRPr="00B025D6" w:rsidRDefault="00B025D6" w:rsidP="00B025D6">
      <w:pPr>
        <w:numPr>
          <w:ilvl w:val="0"/>
          <w:numId w:val="1"/>
        </w:numPr>
        <w:pBdr>
          <w:bottom w:val="single" w:sz="6" w:space="12" w:color="D5D5D5"/>
        </w:pBdr>
        <w:spacing w:after="120" w:line="240" w:lineRule="auto"/>
        <w:rPr>
          <w:rFonts w:ascii="Times New Roman" w:eastAsia="Times New Roman" w:hAnsi="Times New Roman" w:cs="Times New Roman"/>
          <w:sz w:val="24"/>
          <w:szCs w:val="24"/>
          <w:lang w:eastAsia="en-IN"/>
        </w:rPr>
      </w:pPr>
      <w:proofErr w:type="spellStart"/>
      <w:r w:rsidRPr="00B025D6">
        <w:rPr>
          <w:rFonts w:ascii="Times New Roman" w:eastAsia="Times New Roman" w:hAnsi="Times New Roman" w:cs="Times New Roman"/>
          <w:sz w:val="24"/>
          <w:szCs w:val="24"/>
          <w:lang w:eastAsia="en-IN"/>
        </w:rPr>
        <w:t>Abassi</w:t>
      </w:r>
      <w:proofErr w:type="spellEnd"/>
      <w:r w:rsidRPr="00B025D6">
        <w:rPr>
          <w:rFonts w:ascii="Times New Roman" w:eastAsia="Times New Roman" w:hAnsi="Times New Roman" w:cs="Times New Roman"/>
          <w:sz w:val="24"/>
          <w:szCs w:val="24"/>
          <w:lang w:eastAsia="en-IN"/>
        </w:rPr>
        <w:t xml:space="preserve">, S.M., Hollman, K.W.: Turnover: the real bottom line. Public Pers. </w:t>
      </w:r>
      <w:proofErr w:type="spellStart"/>
      <w:r w:rsidRPr="00B025D6">
        <w:rPr>
          <w:rFonts w:ascii="Times New Roman" w:eastAsia="Times New Roman" w:hAnsi="Times New Roman" w:cs="Times New Roman"/>
          <w:sz w:val="24"/>
          <w:szCs w:val="24"/>
          <w:lang w:eastAsia="en-IN"/>
        </w:rPr>
        <w:t>Manag</w:t>
      </w:r>
      <w:proofErr w:type="spellEnd"/>
      <w:r w:rsidRPr="00B025D6">
        <w:rPr>
          <w:rFonts w:ascii="Times New Roman" w:eastAsia="Times New Roman" w:hAnsi="Times New Roman" w:cs="Times New Roman"/>
          <w:sz w:val="24"/>
          <w:szCs w:val="24"/>
          <w:lang w:eastAsia="en-IN"/>
        </w:rPr>
        <w:t>. </w:t>
      </w:r>
      <w:r w:rsidRPr="00B025D6">
        <w:rPr>
          <w:rFonts w:ascii="Times New Roman" w:eastAsia="Times New Roman" w:hAnsi="Times New Roman" w:cs="Times New Roman"/>
          <w:b/>
          <w:bCs/>
          <w:sz w:val="24"/>
          <w:szCs w:val="24"/>
          <w:lang w:eastAsia="en-IN"/>
        </w:rPr>
        <w:t>2</w:t>
      </w:r>
      <w:r w:rsidRPr="00B025D6">
        <w:rPr>
          <w:rFonts w:ascii="Times New Roman" w:eastAsia="Times New Roman" w:hAnsi="Times New Roman" w:cs="Times New Roman"/>
          <w:sz w:val="24"/>
          <w:szCs w:val="24"/>
          <w:lang w:eastAsia="en-IN"/>
        </w:rPr>
        <w:t>(3), 333–342 (2000)</w:t>
      </w:r>
    </w:p>
    <w:p w14:paraId="3EC9EBFE" w14:textId="3F81DCE2" w:rsidR="00B025D6" w:rsidRPr="00B025D6" w:rsidRDefault="00B025D6" w:rsidP="00B025D6">
      <w:pPr>
        <w:pBdr>
          <w:bottom w:val="single" w:sz="6" w:space="12" w:color="D5D5D5"/>
        </w:pBdr>
        <w:spacing w:after="0" w:line="240" w:lineRule="auto"/>
        <w:ind w:left="720"/>
        <w:rPr>
          <w:rFonts w:ascii="Segoe UI" w:eastAsia="Times New Roman" w:hAnsi="Segoe UI" w:cs="Segoe UI"/>
          <w:b/>
          <w:bCs/>
          <w:sz w:val="24"/>
          <w:szCs w:val="24"/>
          <w:lang w:eastAsia="en-IN"/>
        </w:rPr>
      </w:pPr>
    </w:p>
    <w:p w14:paraId="636F4823" w14:textId="7403B09A" w:rsidR="00B025D6" w:rsidRDefault="00B025D6" w:rsidP="00B025D6">
      <w:pPr>
        <w:numPr>
          <w:ilvl w:val="0"/>
          <w:numId w:val="1"/>
        </w:numPr>
        <w:pBdr>
          <w:bottom w:val="single" w:sz="6" w:space="12" w:color="D5D5D5"/>
        </w:pBdr>
        <w:spacing w:after="0" w:line="240" w:lineRule="auto"/>
        <w:rPr>
          <w:rFonts w:ascii="Times New Roman" w:eastAsia="Times New Roman" w:hAnsi="Times New Roman" w:cs="Times New Roman"/>
          <w:sz w:val="24"/>
          <w:szCs w:val="24"/>
          <w:lang w:eastAsia="en-IN"/>
        </w:rPr>
      </w:pPr>
      <w:r w:rsidRPr="00B025D6">
        <w:rPr>
          <w:rFonts w:ascii="Times New Roman" w:eastAsia="Times New Roman" w:hAnsi="Times New Roman" w:cs="Times New Roman"/>
          <w:sz w:val="24"/>
          <w:szCs w:val="24"/>
          <w:lang w:eastAsia="en-IN"/>
        </w:rPr>
        <w:lastRenderedPageBreak/>
        <w:t>Bares A.: Turnover rates by industry, 08 April 2016. </w:t>
      </w:r>
      <w:hyperlink r:id="rId6" w:history="1">
        <w:r w:rsidRPr="00B025D6">
          <w:rPr>
            <w:rFonts w:ascii="Times New Roman" w:eastAsia="Times New Roman" w:hAnsi="Times New Roman" w:cs="Times New Roman"/>
            <w:color w:val="004B83"/>
            <w:sz w:val="24"/>
            <w:szCs w:val="24"/>
            <w:u w:val="single"/>
            <w:lang w:eastAsia="en-IN"/>
          </w:rPr>
          <w:t>http://www.compensationforce.com/2016/04/2015-turnover-rates-by-industry.html</w:t>
        </w:r>
      </w:hyperlink>
    </w:p>
    <w:p w14:paraId="4C9AF05E" w14:textId="77777777" w:rsidR="00B025D6" w:rsidRPr="00B025D6" w:rsidRDefault="00B025D6" w:rsidP="00B025D6">
      <w:pPr>
        <w:pBdr>
          <w:bottom w:val="single" w:sz="6" w:space="12" w:color="D5D5D5"/>
        </w:pBdr>
        <w:spacing w:after="0" w:line="240" w:lineRule="auto"/>
        <w:rPr>
          <w:rFonts w:ascii="Times New Roman" w:eastAsia="Times New Roman" w:hAnsi="Times New Roman" w:cs="Times New Roman"/>
          <w:sz w:val="24"/>
          <w:szCs w:val="24"/>
          <w:lang w:eastAsia="en-IN"/>
        </w:rPr>
      </w:pPr>
    </w:p>
    <w:p w14:paraId="3F2F50E3" w14:textId="77777777" w:rsidR="00B025D6" w:rsidRPr="00B025D6" w:rsidRDefault="00B025D6" w:rsidP="00B025D6">
      <w:pPr>
        <w:numPr>
          <w:ilvl w:val="0"/>
          <w:numId w:val="1"/>
        </w:numPr>
        <w:pBdr>
          <w:bottom w:val="single" w:sz="6" w:space="12" w:color="D5D5D5"/>
        </w:pBdr>
        <w:spacing w:after="120" w:line="240" w:lineRule="auto"/>
        <w:rPr>
          <w:rFonts w:ascii="Times New Roman" w:eastAsia="Times New Roman" w:hAnsi="Times New Roman" w:cs="Times New Roman"/>
          <w:sz w:val="24"/>
          <w:szCs w:val="24"/>
          <w:lang w:eastAsia="en-IN"/>
        </w:rPr>
      </w:pPr>
      <w:proofErr w:type="spellStart"/>
      <w:r w:rsidRPr="00B025D6">
        <w:rPr>
          <w:rFonts w:ascii="Times New Roman" w:eastAsia="Times New Roman" w:hAnsi="Times New Roman" w:cs="Times New Roman"/>
          <w:sz w:val="24"/>
          <w:szCs w:val="24"/>
          <w:lang w:eastAsia="en-IN"/>
        </w:rPr>
        <w:t>Kransdorff</w:t>
      </w:r>
      <w:proofErr w:type="spellEnd"/>
      <w:r w:rsidRPr="00B025D6">
        <w:rPr>
          <w:rFonts w:ascii="Times New Roman" w:eastAsia="Times New Roman" w:hAnsi="Times New Roman" w:cs="Times New Roman"/>
          <w:sz w:val="24"/>
          <w:szCs w:val="24"/>
          <w:lang w:eastAsia="en-IN"/>
        </w:rPr>
        <w:t xml:space="preserve">, A.: Succession planning in a fast-changing world. </w:t>
      </w:r>
      <w:proofErr w:type="spellStart"/>
      <w:r w:rsidRPr="00B025D6">
        <w:rPr>
          <w:rFonts w:ascii="Times New Roman" w:eastAsia="Times New Roman" w:hAnsi="Times New Roman" w:cs="Times New Roman"/>
          <w:sz w:val="24"/>
          <w:szCs w:val="24"/>
          <w:lang w:eastAsia="en-IN"/>
        </w:rPr>
        <w:t>Manag</w:t>
      </w:r>
      <w:proofErr w:type="spellEnd"/>
      <w:r w:rsidRPr="00B025D6">
        <w:rPr>
          <w:rFonts w:ascii="Times New Roman" w:eastAsia="Times New Roman" w:hAnsi="Times New Roman" w:cs="Times New Roman"/>
          <w:sz w:val="24"/>
          <w:szCs w:val="24"/>
          <w:lang w:eastAsia="en-IN"/>
        </w:rPr>
        <w:t xml:space="preserve">. </w:t>
      </w:r>
      <w:proofErr w:type="spellStart"/>
      <w:r w:rsidRPr="00B025D6">
        <w:rPr>
          <w:rFonts w:ascii="Times New Roman" w:eastAsia="Times New Roman" w:hAnsi="Times New Roman" w:cs="Times New Roman"/>
          <w:sz w:val="24"/>
          <w:szCs w:val="24"/>
          <w:lang w:eastAsia="en-IN"/>
        </w:rPr>
        <w:t>Decis</w:t>
      </w:r>
      <w:proofErr w:type="spellEnd"/>
      <w:r w:rsidRPr="00B025D6">
        <w:rPr>
          <w:rFonts w:ascii="Times New Roman" w:eastAsia="Times New Roman" w:hAnsi="Times New Roman" w:cs="Times New Roman"/>
          <w:sz w:val="24"/>
          <w:szCs w:val="24"/>
          <w:lang w:eastAsia="en-IN"/>
        </w:rPr>
        <w:t>. </w:t>
      </w:r>
      <w:r w:rsidRPr="00B025D6">
        <w:rPr>
          <w:rFonts w:ascii="Times New Roman" w:eastAsia="Times New Roman" w:hAnsi="Times New Roman" w:cs="Times New Roman"/>
          <w:b/>
          <w:bCs/>
          <w:sz w:val="24"/>
          <w:szCs w:val="24"/>
          <w:lang w:eastAsia="en-IN"/>
        </w:rPr>
        <w:t>34</w:t>
      </w:r>
      <w:r w:rsidRPr="00B025D6">
        <w:rPr>
          <w:rFonts w:ascii="Times New Roman" w:eastAsia="Times New Roman" w:hAnsi="Times New Roman" w:cs="Times New Roman"/>
          <w:sz w:val="24"/>
          <w:szCs w:val="24"/>
          <w:lang w:eastAsia="en-IN"/>
        </w:rPr>
        <w:t>(2), 30–34 (1996)</w:t>
      </w:r>
    </w:p>
    <w:p w14:paraId="153EFD11" w14:textId="06BE945F" w:rsidR="00B025D6" w:rsidRPr="00B025D6" w:rsidRDefault="00B025D6" w:rsidP="00B025D6">
      <w:pPr>
        <w:pBdr>
          <w:bottom w:val="single" w:sz="6" w:space="12" w:color="D5D5D5"/>
        </w:pBdr>
        <w:spacing w:after="0" w:line="240" w:lineRule="auto"/>
        <w:ind w:left="720"/>
        <w:rPr>
          <w:rFonts w:ascii="Segoe UI" w:eastAsia="Times New Roman" w:hAnsi="Segoe UI" w:cs="Segoe UI"/>
          <w:b/>
          <w:bCs/>
          <w:sz w:val="24"/>
          <w:szCs w:val="24"/>
          <w:lang w:eastAsia="en-IN"/>
        </w:rPr>
      </w:pPr>
      <w:r w:rsidRPr="00B025D6">
        <w:rPr>
          <w:rFonts w:ascii="Segoe UI" w:eastAsia="Times New Roman" w:hAnsi="Segoe UI" w:cs="Segoe UI"/>
          <w:b/>
          <w:bCs/>
          <w:sz w:val="24"/>
          <w:szCs w:val="24"/>
          <w:lang w:eastAsia="en-IN"/>
        </w:rPr>
        <w:t> </w:t>
      </w:r>
    </w:p>
    <w:p w14:paraId="288EBA94" w14:textId="12813169" w:rsidR="00B025D6" w:rsidRPr="00B025D6" w:rsidRDefault="00B025D6" w:rsidP="00B025D6">
      <w:pPr>
        <w:pBdr>
          <w:bottom w:val="single" w:sz="6" w:space="12" w:color="D5D5D5"/>
        </w:pBdr>
        <w:spacing w:after="0" w:line="240" w:lineRule="auto"/>
        <w:rPr>
          <w:rFonts w:ascii="Times New Roman" w:eastAsia="Times New Roman" w:hAnsi="Times New Roman" w:cs="Times New Roman"/>
          <w:sz w:val="24"/>
          <w:szCs w:val="24"/>
          <w:lang w:eastAsia="en-IN"/>
        </w:rPr>
      </w:pPr>
      <w:r w:rsidRPr="00B025D6">
        <w:rPr>
          <w:rFonts w:ascii="Times New Roman" w:eastAsia="Times New Roman" w:hAnsi="Times New Roman" w:cs="Times New Roman"/>
          <w:sz w:val="24"/>
          <w:szCs w:val="24"/>
          <w:lang w:eastAsia="en-IN"/>
        </w:rPr>
        <w:t xml:space="preserve"> </w:t>
      </w:r>
    </w:p>
    <w:p w14:paraId="03861B31" w14:textId="77777777" w:rsidR="00B025D6" w:rsidRDefault="00B025D6"/>
    <w:sectPr w:rsidR="00B02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4D5"/>
    <w:multiLevelType w:val="multilevel"/>
    <w:tmpl w:val="A3FC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3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D6"/>
    <w:rsid w:val="00B02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0D87"/>
  <w15:chartTrackingRefBased/>
  <w15:docId w15:val="{90FA84BA-45D7-437F-829D-327428FF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25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5D6"/>
    <w:rPr>
      <w:rFonts w:ascii="Times New Roman" w:eastAsia="Times New Roman" w:hAnsi="Times New Roman" w:cs="Times New Roman"/>
      <w:b/>
      <w:bCs/>
      <w:sz w:val="36"/>
      <w:szCs w:val="36"/>
      <w:lang w:eastAsia="en-IN"/>
    </w:rPr>
  </w:style>
  <w:style w:type="paragraph" w:customStyle="1" w:styleId="c-article-referencestext">
    <w:name w:val="c-article-references__text"/>
    <w:basedOn w:val="Normal"/>
    <w:rsid w:val="00B02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25D6"/>
    <w:rPr>
      <w:color w:val="0000FF"/>
      <w:u w:val="single"/>
    </w:rPr>
  </w:style>
  <w:style w:type="paragraph" w:customStyle="1" w:styleId="c-article-referenceslinks">
    <w:name w:val="c-article-references__links"/>
    <w:basedOn w:val="Normal"/>
    <w:rsid w:val="00B025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99175">
      <w:bodyDiv w:val="1"/>
      <w:marLeft w:val="0"/>
      <w:marRight w:val="0"/>
      <w:marTop w:val="0"/>
      <w:marBottom w:val="0"/>
      <w:divBdr>
        <w:top w:val="none" w:sz="0" w:space="0" w:color="auto"/>
        <w:left w:val="none" w:sz="0" w:space="0" w:color="auto"/>
        <w:bottom w:val="none" w:sz="0" w:space="0" w:color="auto"/>
        <w:right w:val="none" w:sz="0" w:space="0" w:color="auto"/>
      </w:divBdr>
      <w:divsChild>
        <w:div w:id="248395980">
          <w:marLeft w:val="0"/>
          <w:marRight w:val="0"/>
          <w:marTop w:val="0"/>
          <w:marBottom w:val="600"/>
          <w:divBdr>
            <w:top w:val="none" w:sz="0" w:space="0" w:color="auto"/>
            <w:left w:val="none" w:sz="0" w:space="0" w:color="auto"/>
            <w:bottom w:val="none" w:sz="0" w:space="0" w:color="auto"/>
            <w:right w:val="none" w:sz="0" w:space="0" w:color="auto"/>
          </w:divBdr>
          <w:divsChild>
            <w:div w:id="5661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ensationforce.com/2016/04/2015-turnover-rates-by-industry.html" TargetMode="External"/><Relationship Id="rId5" Type="http://schemas.openxmlformats.org/officeDocument/2006/relationships/hyperlink" Target="http://www.zenworkplace.com/2014/07/01/cost-employee-turno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Magdhalin gethsiya  R</dc:creator>
  <cp:keywords/>
  <dc:description/>
  <cp:lastModifiedBy>Magdhalin gethsiya  R</cp:lastModifiedBy>
  <cp:revision>1</cp:revision>
  <dcterms:created xsi:type="dcterms:W3CDTF">2022-09-16T13:28:00Z</dcterms:created>
  <dcterms:modified xsi:type="dcterms:W3CDTF">2022-09-16T13:38:00Z</dcterms:modified>
</cp:coreProperties>
</file>