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基于热点调度与资源超售的云计算资源利用率优化</w:t>
      </w:r>
    </w:p>
    <w:p>
      <w:pPr>
        <w:pStyle w:val="2"/>
        <w:spacing w:before="320" w:after="120" w:line="288" w:lineRule="auto"/>
        <w:ind w:left="0"/>
        <w:jc w:val="left"/>
        <w:outlineLvl w:val="1"/>
      </w:pPr>
      <w:bookmarkStart w:name="heading_0" w:id="0"/>
      <w:r>
        <w:rPr>
          <w:rFonts w:eastAsia="等线" w:ascii="Arial" w:cs="Arial" w:hAnsi="Arial"/>
          <w:b w:val="true"/>
          <w:sz w:val="32"/>
        </w:rPr>
        <w:t>摘要</w:t>
      </w:r>
      <w:bookmarkEnd w:id="0"/>
    </w:p>
    <w:p>
      <w:pPr>
        <w:spacing w:before="120" w:after="120" w:line="288" w:lineRule="auto"/>
        <w:ind w:left="0"/>
        <w:jc w:val="left"/>
      </w:pPr>
      <w:r>
        <w:rPr>
          <w:rFonts w:eastAsia="等线" w:ascii="Arial" w:cs="Arial" w:hAnsi="Arial"/>
          <w:sz w:val="22"/>
        </w:rPr>
        <w:t>云计算环境中资源管理面临着双重挑战：一方面是集群内机器利用率分布不均衡，部分机器成为热点（CPU/内存利用率&gt;95%）影响服务质量；另一方面是资源分配率高但实际利用率低，导致大量资源闲置浪费。本研究提出了热点调度与资源超售的协同机制，旨在从资源分布均衡性和整体利用率两个维度优化云计算资源管理。热点调度策略通过特征值计算的机器分级调度机制，使集群内机器负载更加均衡；资源超售方法则基于服务画像，采用静态比例模型回收未使用资源并进行二次分配。实验结果表明，热点调度策略显著减少了热点机器数量，改善了集群内资源分布均衡性；资源超售方法则有效提升了整体资源利用率至目标水平（约50%）。两种方法协同使用时，不仅保持了各自的优势，还通过共享技术基础和互补性机制形成了更完整的解决方案。本研究为云计算资源管理提供了新思路，在不增加物理资源的情况下有效提升资源利用效率，具有重要的理论价值和实践意义。</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：云计算；资源调度；资源超售；热点调度；资源利用率；服务画像</w:t>
      </w:r>
    </w:p>
    <w:p>
      <w:pPr>
        <w:pStyle w:val="2"/>
        <w:spacing w:before="320" w:after="120" w:line="288" w:lineRule="auto"/>
        <w:ind w:left="0"/>
        <w:jc w:val="left"/>
        <w:outlineLvl w:val="1"/>
      </w:pPr>
      <w:bookmarkStart w:name="heading_1" w:id="1"/>
      <w:r>
        <w:rPr>
          <w:rFonts w:eastAsia="等线" w:ascii="Arial" w:cs="Arial" w:hAnsi="Arial"/>
          <w:b w:val="true"/>
          <w:sz w:val="32"/>
        </w:rPr>
        <w:t>1. 引言</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 背景</w:t>
      </w:r>
      <w:bookmarkEnd w:id="2"/>
    </w:p>
    <w:p>
      <w:pPr>
        <w:spacing w:before="120" w:after="120" w:line="288" w:lineRule="auto"/>
        <w:ind w:left="0"/>
        <w:jc w:val="left"/>
      </w:pPr>
      <w:r>
        <w:rPr>
          <w:rFonts w:eastAsia="等线" w:ascii="Arial" w:cs="Arial" w:hAnsi="Arial"/>
          <w:sz w:val="22"/>
        </w:rPr>
        <w:t>云计算作为现代信息技术的重要基础设施，其资源管理效率直接影响服务质量和运营成本。随着云计算应用规模的不断扩大，如何高效管理和利用计算资源已成为云服务提供商面临的关键挑战。云计算环境中的资源管理主要面临两大问题：集群内机器利用率不均衡和资源实际利用率低下。</w:t>
      </w:r>
    </w:p>
    <w:p>
      <w:pPr>
        <w:spacing w:before="120" w:after="120" w:line="288" w:lineRule="auto"/>
        <w:ind w:left="0"/>
        <w:jc w:val="left"/>
      </w:pPr>
      <w:r>
        <w:rPr>
          <w:rFonts w:eastAsia="等线" w:ascii="Arial" w:cs="Arial" w:hAnsi="Arial"/>
          <w:sz w:val="22"/>
        </w:rPr>
        <w:t>集群内机器利用率不均衡表现为同一个调度队列内、同一个集群内的机器利用率差距很大，导致部分机器成为热点（CPU/内存利用率&gt;95%），而其他机器则处于较低负载状态。这种不均衡不仅影响热点机器上运行服务的质量，还造成整体资源利用效率低下。</w:t>
      </w:r>
    </w:p>
    <w:p>
      <w:pPr>
        <w:spacing w:before="120" w:after="120" w:line="288" w:lineRule="auto"/>
        <w:ind w:left="0"/>
        <w:jc w:val="left"/>
      </w:pPr>
      <w:r>
        <w:rPr>
          <w:rFonts w:eastAsia="等线" w:ascii="Arial" w:cs="Arial" w:hAnsi="Arial"/>
          <w:sz w:val="22"/>
        </w:rPr>
        <w:t>资源实际利用率低下则表现为用户申请的资源（quota）与实际使用的资源（used）之间存在较大差距。例如，某些集群的CPU分配率可达99%，但实际利用率却仅为47%左右。这种情况主要是由于用户不正确的资源申请导致的，大量申请但未使用的资源无法通过常规方式被其他服务利用，造成严重的资源浪费。</w:t>
      </w:r>
    </w:p>
    <w:p>
      <w:pPr>
        <w:spacing w:before="120" w:after="120" w:line="288" w:lineRule="auto"/>
        <w:ind w:left="0"/>
        <w:jc w:val="left"/>
      </w:pPr>
      <w:r>
        <w:rPr>
          <w:rFonts w:eastAsia="等线" w:ascii="Arial" w:cs="Arial" w:hAnsi="Arial"/>
          <w:sz w:val="22"/>
        </w:rPr>
        <w:t>传统的资源管理策略往往只关注单一维度的优化，如负载均衡或资源超售，缺乏综合考虑资源分布均衡性和整体利用率的协同机制。这种割裂的管理方式难以有效应对云计算环境中复杂多变的资源需求。</w:t>
      </w:r>
    </w:p>
    <w:p>
      <w:pPr>
        <w:pStyle w:val="3"/>
        <w:spacing w:before="300" w:after="120" w:line="288" w:lineRule="auto"/>
        <w:ind w:left="0"/>
        <w:jc w:val="left"/>
        <w:outlineLvl w:val="2"/>
      </w:pPr>
      <w:bookmarkStart w:name="heading_3" w:id="3"/>
      <w:r>
        <w:rPr>
          <w:rFonts w:eastAsia="等线" w:ascii="Arial" w:cs="Arial" w:hAnsi="Arial"/>
          <w:b w:val="true"/>
          <w:sz w:val="30"/>
        </w:rPr>
        <w:t>1.2 问题陈述</w:t>
      </w:r>
      <w:bookmarkEnd w:id="3"/>
    </w:p>
    <w:p>
      <w:pPr>
        <w:spacing w:before="120" w:after="120" w:line="288" w:lineRule="auto"/>
        <w:ind w:left="0"/>
        <w:jc w:val="left"/>
      </w:pPr>
      <w:r>
        <w:rPr>
          <w:rFonts w:eastAsia="等线" w:ascii="Arial" w:cs="Arial" w:hAnsi="Arial"/>
          <w:sz w:val="22"/>
        </w:rPr>
        <w:t>通过对云计算环境中资源利用情况的分析，我们发现以下具体问题：</w:t>
      </w:r>
    </w:p>
    <w:p>
      <w:pPr>
        <w:spacing w:before="120" w:after="120" w:line="288" w:lineRule="auto"/>
        <w:ind w:left="0"/>
        <w:jc w:val="left"/>
      </w:pPr>
      <w:r>
        <w:rPr>
          <w:rFonts w:eastAsia="等线" w:ascii="Arial" w:cs="Arial" w:hAnsi="Arial"/>
          <w:b w:val="true"/>
          <w:sz w:val="22"/>
        </w:rPr>
        <w:t>1. 热点问题</w:t>
      </w:r>
      <w:r>
        <w:rPr>
          <w:rFonts w:eastAsia="等线" w:ascii="Arial" w:cs="Arial" w:hAnsi="Arial"/>
          <w:sz w:val="22"/>
        </w:rPr>
        <w:t>：同一集群内机器利用率差距大，部分机器CPU/内存利用率超过95%，成为热点，影响服务质量。以gzns主混布队列利用率分布为例，CPU利用率大部分机器集中在30~50%区间（约49.45%的机器），内存利用率大部分机器集中在70~80%区间（约58.53%的机器），但热点集中在少数机器上，这些机器的利用率很高，对在线容器实例的正常运行有显著影响。统计数据显示，CPU平均利用率为37.46%（最高达到98.96%），内存平均利用率为64.54%（最高达到96.33%）。</w:t>
      </w:r>
    </w:p>
    <w:p>
      <w:pPr>
        <w:spacing w:before="120" w:after="120" w:line="288" w:lineRule="auto"/>
        <w:ind w:left="0"/>
        <w:jc w:val="left"/>
      </w:pPr>
      <w:r>
        <w:rPr>
          <w:rFonts w:eastAsia="等线" w:ascii="Arial" w:cs="Arial" w:hAnsi="Arial"/>
          <w:b w:val="true"/>
          <w:sz w:val="22"/>
        </w:rPr>
        <w:t>2. 资源浪费问题</w:t>
      </w:r>
      <w:r>
        <w:rPr>
          <w:rFonts w:eastAsia="等线" w:ascii="Arial" w:cs="Arial" w:hAnsi="Arial"/>
          <w:sz w:val="22"/>
        </w:rPr>
        <w:t>：用户申请资源多于实际使用，导致资源闲置。例如，yq01集群的CPU分配率达到99%，但CPU资源的实际利用率却只有47%（峰值）。这种情况下，大量已分配但未使用的资源无法被有效利用。</w:t>
      </w:r>
    </w:p>
    <w:p>
      <w:pPr>
        <w:spacing w:before="120" w:after="120" w:line="288" w:lineRule="auto"/>
        <w:ind w:left="0"/>
        <w:jc w:val="left"/>
      </w:pPr>
      <w:r>
        <w:rPr>
          <w:rFonts w:eastAsia="等线" w:ascii="Arial" w:cs="Arial" w:hAnsi="Arial"/>
          <w:sz w:val="22"/>
        </w:rPr>
        <w:t>下表展示了主混布队列中不同集群的资源利用率情况，可以看出资源利用率普遍较低：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平均内存利用率(%)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平均CPU利用率(%)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峰值内存利用率(%)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峰值CPU利用率(%)</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gzbh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49.95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21.95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48.21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31.34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yq01f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47.96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47.63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dbl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69.51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53.26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yq013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34.70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34.67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11.94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gzns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61.66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20.58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26.58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bjyz</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63.57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64.37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35.08</w:t>
            </w:r>
          </w:p>
        </w:tc>
      </w:tr>
    </w:tbl>
    <w:p>
      <w:pPr>
        <w:spacing w:before="120" w:after="120" w:line="288" w:lineRule="auto"/>
        <w:ind w:left="0"/>
        <w:jc w:val="left"/>
      </w:pPr>
      <w:r>
        <w:rPr>
          <w:rFonts w:eastAsia="等线" w:ascii="Arial" w:cs="Arial" w:hAnsi="Arial"/>
          <w:sz w:val="22"/>
        </w:rPr>
        <w:t>这两个问题虽然表现形式不同，但本质上都导致了资源利用效率低下。热点问题造成资源分布不均衡，影响服务质量；资源浪费问题则导致整体资源利用率低下，增加运营成本。如何在保证服务质量的前提下，同时解决这两个问题，是本研究的核心挑战。</w:t>
      </w:r>
    </w:p>
    <w:p>
      <w:pPr>
        <w:pStyle w:val="3"/>
        <w:spacing w:before="300" w:after="120" w:line="288" w:lineRule="auto"/>
        <w:ind w:left="0"/>
        <w:jc w:val="left"/>
        <w:outlineLvl w:val="2"/>
      </w:pPr>
      <w:bookmarkStart w:name="heading_4" w:id="4"/>
      <w:r>
        <w:rPr>
          <w:rFonts w:eastAsia="等线" w:ascii="Arial" w:cs="Arial" w:hAnsi="Arial"/>
          <w:b w:val="true"/>
          <w:sz w:val="30"/>
        </w:rPr>
        <w:t>1.3 研究意义</w:t>
      </w:r>
      <w:bookmarkEnd w:id="4"/>
    </w:p>
    <w:p>
      <w:pPr>
        <w:spacing w:before="120" w:after="120" w:line="288" w:lineRule="auto"/>
        <w:ind w:left="0"/>
        <w:jc w:val="left"/>
      </w:pPr>
      <w:r>
        <w:rPr>
          <w:rFonts w:eastAsia="等线" w:ascii="Arial" w:cs="Arial" w:hAnsi="Arial"/>
          <w:sz w:val="22"/>
        </w:rPr>
        <w:t>本研究的意义主要体现在以下几个方面：</w:t>
      </w:r>
    </w:p>
    <w:p>
      <w:pPr>
        <w:numPr>
          <w:numId w:val="1"/>
        </w:numPr>
        <w:spacing w:before="120" w:after="120" w:line="288" w:lineRule="auto"/>
        <w:ind w:left="0"/>
        <w:jc w:val="left"/>
      </w:pPr>
      <w:r>
        <w:rPr>
          <w:rFonts w:eastAsia="等线" w:ascii="Arial" w:cs="Arial" w:hAnsi="Arial"/>
          <w:b w:val="true"/>
          <w:sz w:val="22"/>
        </w:rPr>
        <w:t>经济价值</w:t>
      </w:r>
      <w:r>
        <w:rPr>
          <w:rFonts w:eastAsia="等线" w:ascii="Arial" w:cs="Arial" w:hAnsi="Arial"/>
          <w:sz w:val="22"/>
        </w:rPr>
        <w:t>：提高资源利用率可直接降低云服务提供商的硬件投入和运营成本。在大规模云计算环境中，即使资源利用率提升几个百分点，也能带来可观的经济效益。</w:t>
      </w:r>
    </w:p>
    <w:p>
      <w:pPr>
        <w:numPr>
          <w:numId w:val="2"/>
        </w:numPr>
        <w:spacing w:before="120" w:after="120" w:line="288" w:lineRule="auto"/>
        <w:ind w:left="0"/>
        <w:jc w:val="left"/>
      </w:pPr>
      <w:r>
        <w:rPr>
          <w:rFonts w:eastAsia="等线" w:ascii="Arial" w:cs="Arial" w:hAnsi="Arial"/>
          <w:b w:val="true"/>
          <w:sz w:val="22"/>
        </w:rPr>
        <w:t>环保意义</w:t>
      </w:r>
      <w:r>
        <w:rPr>
          <w:rFonts w:eastAsia="等线" w:ascii="Arial" w:cs="Arial" w:hAnsi="Arial"/>
          <w:sz w:val="22"/>
        </w:rPr>
        <w:t>：更高效地利用计算资源意味着更少的能源消耗和碳排放，符合绿色计算的发展趋势。</w:t>
      </w:r>
    </w:p>
    <w:p>
      <w:pPr>
        <w:numPr>
          <w:numId w:val="3"/>
        </w:numPr>
        <w:spacing w:before="120" w:after="120" w:line="288" w:lineRule="auto"/>
        <w:ind w:left="0"/>
        <w:jc w:val="left"/>
      </w:pPr>
      <w:r>
        <w:rPr>
          <w:rFonts w:eastAsia="等线" w:ascii="Arial" w:cs="Arial" w:hAnsi="Arial"/>
          <w:b w:val="true"/>
          <w:sz w:val="22"/>
        </w:rPr>
        <w:t>技术挑战</w:t>
      </w:r>
      <w:r>
        <w:rPr>
          <w:rFonts w:eastAsia="等线" w:ascii="Arial" w:cs="Arial" w:hAnsi="Arial"/>
          <w:sz w:val="22"/>
        </w:rPr>
        <w:t>：在保证服务质量前提下优化资源分配是一个复杂的技术问题，需要综合考虑负载均衡、资源预测、服务质量保障等多个方面。</w:t>
      </w:r>
    </w:p>
    <w:p>
      <w:pPr>
        <w:numPr>
          <w:numId w:val="4"/>
        </w:numPr>
        <w:spacing w:before="120" w:after="120" w:line="288" w:lineRule="auto"/>
        <w:ind w:left="0"/>
        <w:jc w:val="left"/>
      </w:pPr>
      <w:r>
        <w:rPr>
          <w:rFonts w:eastAsia="等线" w:ascii="Arial" w:cs="Arial" w:hAnsi="Arial"/>
          <w:b w:val="true"/>
          <w:sz w:val="22"/>
        </w:rPr>
        <w:t>创新性</w:t>
      </w:r>
      <w:r>
        <w:rPr>
          <w:rFonts w:eastAsia="等线" w:ascii="Arial" w:cs="Arial" w:hAnsi="Arial"/>
          <w:sz w:val="22"/>
        </w:rPr>
        <w:t>：热点调度与资源超售协同机制的研究填补了现有研究中的空白，为云计算资源管理提供了新的思路和方法。</w:t>
      </w:r>
    </w:p>
    <w:p>
      <w:pPr>
        <w:numPr>
          <w:numId w:val="5"/>
        </w:numPr>
        <w:spacing w:before="120" w:after="120" w:line="288" w:lineRule="auto"/>
        <w:ind w:left="0"/>
        <w:jc w:val="left"/>
      </w:pPr>
      <w:r>
        <w:rPr>
          <w:rFonts w:eastAsia="等线" w:ascii="Arial" w:cs="Arial" w:hAnsi="Arial"/>
          <w:b w:val="true"/>
          <w:sz w:val="22"/>
        </w:rPr>
        <w:t>实际应用价值</w:t>
      </w:r>
      <w:r>
        <w:rPr>
          <w:rFonts w:eastAsia="等线" w:ascii="Arial" w:cs="Arial" w:hAnsi="Arial"/>
          <w:sz w:val="22"/>
        </w:rPr>
        <w:t>：研究成果可直接应用于实际的云服务环境，帮助云服务提供商优化资源管理策略，提高竞争力。</w:t>
      </w:r>
    </w:p>
    <w:p>
      <w:pPr>
        <w:spacing w:before="120" w:after="120" w:line="288" w:lineRule="auto"/>
        <w:ind w:left="0"/>
        <w:jc w:val="left"/>
      </w:pPr>
      <w:r>
        <w:rPr>
          <w:rFonts w:eastAsia="等线" w:ascii="Arial" w:cs="Arial" w:hAnsi="Arial"/>
          <w:sz w:val="22"/>
        </w:rPr>
        <w:t>本研究通过提出热点调度与资源超售的协同机制，旨在从资源分布均衡性和整体利用率两个维度优化云计算资源管理，为云计算领域的资源优化提供新的解决方案。</w:t>
      </w:r>
    </w:p>
    <w:p>
      <w:pPr>
        <w:pStyle w:val="2"/>
        <w:spacing w:before="320" w:after="120" w:line="288" w:lineRule="auto"/>
        <w:ind w:left="0"/>
        <w:jc w:val="left"/>
        <w:outlineLvl w:val="1"/>
      </w:pPr>
      <w:bookmarkStart w:name="heading_5" w:id="5"/>
      <w:r>
        <w:rPr>
          <w:rFonts w:eastAsia="等线" w:ascii="Arial" w:cs="Arial" w:hAnsi="Arial"/>
          <w:b w:val="true"/>
          <w:sz w:val="32"/>
        </w:rPr>
        <w:t>2. 文献综述</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2.1 云计算资源调度研究现状</w:t>
      </w:r>
      <w:bookmarkEnd w:id="6"/>
    </w:p>
    <w:p>
      <w:pPr>
        <w:spacing w:before="120" w:after="120" w:line="288" w:lineRule="auto"/>
        <w:ind w:left="0"/>
        <w:jc w:val="left"/>
      </w:pPr>
      <w:r>
        <w:rPr>
          <w:rFonts w:eastAsia="等线" w:ascii="Arial" w:cs="Arial" w:hAnsi="Arial"/>
          <w:sz w:val="22"/>
        </w:rPr>
        <w:t>云计算资源调度是云计算系统中的核心问题之一，其目标是在满足用户需求的同时，提高资源利用率和系统性能。传统的资源调度算法主要包括最佳适应（Best Fit）、最差适应（Worst Fit）等。最佳适应算法倾向于选择资源余量最小但能满足需求的节点，有利于提高资源利用率但可能导致热点；最差适应算法则倾向于选择资源余量最大的节点，有利于负载均衡但可能导致资源碎片化。</w:t>
      </w:r>
    </w:p>
    <w:p>
      <w:pPr>
        <w:spacing w:before="120" w:after="120" w:line="288" w:lineRule="auto"/>
        <w:ind w:left="0"/>
        <w:jc w:val="left"/>
      </w:pPr>
      <w:r>
        <w:rPr>
          <w:rFonts w:eastAsia="等线" w:ascii="Arial" w:cs="Arial" w:hAnsi="Arial"/>
          <w:sz w:val="22"/>
        </w:rPr>
        <w:t>基于负载均衡的调度策略是云计算资源调度研究的重要方向。这类策略通过监控系统负载状态，动态调整资源分配，避免单点过载。例如，基于阈值的负载均衡策略设定负载上下限，当节点负载超过上限时触发迁移操作；基于预测的负载均衡策略则通过分析历史数据预测未来负载，提前进行资源调整。</w:t>
      </w:r>
    </w:p>
    <w:p>
      <w:pPr>
        <w:spacing w:before="120" w:after="120" w:line="288" w:lineRule="auto"/>
        <w:ind w:left="0"/>
        <w:jc w:val="left"/>
      </w:pPr>
      <w:r>
        <w:rPr>
          <w:rFonts w:eastAsia="等线" w:ascii="Arial" w:cs="Arial" w:hAnsi="Arial"/>
          <w:sz w:val="22"/>
        </w:rPr>
        <w:t>热点感知与热点迁移技术是近年来的研究热点。热点感知技术通过实时监控系统状态，识别潜在的热点节点；热点迁移技术则通过任务迁移或资源重分配，缓解热点节点的压力。这些技术的发展使得系统能够更加主动地应对负载变化，提高资源利用效率。</w:t>
      </w:r>
    </w:p>
    <w:p>
      <w:pPr>
        <w:spacing w:before="120" w:after="120" w:line="288" w:lineRule="auto"/>
        <w:ind w:left="0"/>
        <w:jc w:val="left"/>
      </w:pPr>
      <w:r>
        <w:rPr>
          <w:rFonts w:eastAsia="等线" w:ascii="Arial" w:cs="Arial" w:hAnsi="Arial"/>
          <w:sz w:val="22"/>
        </w:rPr>
        <w:t>在资源调度中，服务质量保障机制也是研究的重要内容。这些机制通过设定服务等级协议（SLA），在资源调度过程中优先保障关键业务的服务质量，同时为非关键业务提供尽力而为的服务。</w:t>
      </w:r>
    </w:p>
    <w:p>
      <w:pPr>
        <w:pStyle w:val="3"/>
        <w:spacing w:before="300" w:after="120" w:line="288" w:lineRule="auto"/>
        <w:ind w:left="0"/>
        <w:jc w:val="left"/>
        <w:outlineLvl w:val="2"/>
      </w:pPr>
      <w:bookmarkStart w:name="heading_7" w:id="7"/>
      <w:r>
        <w:rPr>
          <w:rFonts w:eastAsia="等线" w:ascii="Arial" w:cs="Arial" w:hAnsi="Arial"/>
          <w:b w:val="true"/>
          <w:sz w:val="30"/>
        </w:rPr>
        <w:t>2.2 资源超售技术研究进展</w:t>
      </w:r>
      <w:bookmarkEnd w:id="7"/>
    </w:p>
    <w:p>
      <w:pPr>
        <w:spacing w:before="120" w:after="120" w:line="288" w:lineRule="auto"/>
        <w:ind w:left="0"/>
        <w:jc w:val="left"/>
      </w:pPr>
      <w:r>
        <w:rPr>
          <w:rFonts w:eastAsia="等线" w:ascii="Arial" w:cs="Arial" w:hAnsi="Arial"/>
          <w:sz w:val="22"/>
        </w:rPr>
        <w:t>资源超售是提高资源利用率的重要技术，其基本原理是基于用户实际使用资源通常低于申请资源的观察，将未使用的资源重新分配给其他用户。资源超售技术经历了从静态超售到动态超售的发展历程。</w:t>
      </w:r>
    </w:p>
    <w:p>
      <w:pPr>
        <w:spacing w:before="120" w:after="120" w:line="288" w:lineRule="auto"/>
        <w:ind w:left="0"/>
        <w:jc w:val="left"/>
      </w:pPr>
      <w:r>
        <w:rPr>
          <w:rFonts w:eastAsia="等线" w:ascii="Arial" w:cs="Arial" w:hAnsi="Arial"/>
          <w:sz w:val="22"/>
        </w:rPr>
        <w:t>资源超售的两种主要策略：</w:t>
      </w:r>
    </w:p>
    <w:p>
      <w:pPr>
        <w:numPr>
          <w:numId w:val="6"/>
        </w:numPr>
        <w:spacing w:before="120" w:after="120" w:line="288" w:lineRule="auto"/>
        <w:ind w:left="0"/>
        <w:jc w:val="left"/>
      </w:pPr>
      <w:r>
        <w:rPr>
          <w:rFonts w:eastAsia="等线" w:ascii="Arial" w:cs="Arial" w:hAnsi="Arial"/>
          <w:b w:val="true"/>
          <w:sz w:val="22"/>
        </w:rPr>
        <w:t>静态超售策略</w:t>
      </w:r>
      <w:r>
        <w:rPr>
          <w:rFonts w:eastAsia="等线" w:ascii="Arial" w:cs="Arial" w:hAnsi="Arial"/>
          <w:sz w:val="22"/>
        </w:rPr>
        <w:t>：通过固定的超售比例进行资源分配，实现简单但缺乏灵活性</w:t>
      </w:r>
    </w:p>
    <w:p>
      <w:pPr>
        <w:numPr>
          <w:numId w:val="7"/>
        </w:numPr>
        <w:spacing w:before="120" w:after="120" w:line="288" w:lineRule="auto"/>
        <w:ind w:left="0"/>
        <w:jc w:val="left"/>
      </w:pPr>
      <w:r>
        <w:rPr>
          <w:rFonts w:eastAsia="等线" w:ascii="Arial" w:cs="Arial" w:hAnsi="Arial"/>
          <w:b w:val="true"/>
          <w:sz w:val="22"/>
        </w:rPr>
        <w:t>动态超售策略</w:t>
      </w:r>
      <w:r>
        <w:rPr>
          <w:rFonts w:eastAsia="等线" w:ascii="Arial" w:cs="Arial" w:hAnsi="Arial"/>
          <w:sz w:val="22"/>
        </w:rPr>
        <w:t>：根据系统负载状态和用户行为模式动态调整超售比例，具有更好的适应性但实现复杂度高</w:t>
      </w:r>
    </w:p>
    <w:p>
      <w:pPr>
        <w:spacing w:before="120" w:after="120" w:line="288" w:lineRule="auto"/>
        <w:ind w:left="0"/>
        <w:jc w:val="left"/>
      </w:pPr>
      <w:r>
        <w:rPr>
          <w:rFonts w:eastAsia="等线" w:ascii="Arial" w:cs="Arial" w:hAnsi="Arial"/>
          <w:sz w:val="22"/>
        </w:rPr>
        <w:t>两种策略各有优缺点，适用于不同的应用场景。</w:t>
      </w:r>
    </w:p>
    <w:p>
      <w:pPr>
        <w:spacing w:before="120" w:after="120" w:line="288" w:lineRule="auto"/>
        <w:ind w:left="0"/>
        <w:jc w:val="left"/>
      </w:pPr>
      <w:r>
        <w:rPr>
          <w:rFonts w:eastAsia="等线" w:ascii="Arial" w:cs="Arial" w:hAnsi="Arial"/>
          <w:sz w:val="22"/>
        </w:rPr>
        <w:t>基于服务画像的资源需求预测方法是资源超售技术的重要支撑。这类方法通过分析服务的历史资源使用模式，建立资源需求模型，预测未来资源需求，为超售决策提供依据。准确的资源需求预测可以提高超售的安全性和有效性。</w:t>
      </w:r>
    </w:p>
    <w:p>
      <w:pPr>
        <w:spacing w:before="120" w:after="120" w:line="288" w:lineRule="auto"/>
        <w:ind w:left="0"/>
        <w:jc w:val="left"/>
      </w:pPr>
      <w:r>
        <w:rPr>
          <w:rFonts w:eastAsia="等线" w:ascii="Arial" w:cs="Arial" w:hAnsi="Arial"/>
          <w:sz w:val="22"/>
        </w:rPr>
        <w:t>在超售环境下，热点处理与服务质量保障是关键挑战。超售增加了系统资源竞争，可能导致热点问题更加严重。为此，研究者提出了各种热点检测和处理机制，如基于优先级的资源抢占、任务迁移等，以保障关键业务的服务质量。</w:t>
      </w:r>
    </w:p>
    <w:p>
      <w:pPr>
        <w:spacing w:before="120" w:after="120" w:line="288" w:lineRule="auto"/>
        <w:ind w:left="0"/>
        <w:jc w:val="left"/>
      </w:pPr>
      <w:r>
        <w:rPr>
          <w:rFonts w:eastAsia="等线" w:ascii="Arial" w:cs="Arial" w:hAnsi="Arial"/>
          <w:sz w:val="22"/>
        </w:rPr>
        <w:t>Wang等人[</w:t>
      </w:r>
      <w:r>
        <w:rPr>
          <w:rFonts w:eastAsia="等线" w:ascii="Arial" w:cs="Arial" w:hAnsi="Arial"/>
          <w:sz w:val="22"/>
        </w:rPr>
        <w:t>1]提出了一种基于资源分区的动态调整方法，通过监控资源利用率和SLO违反情况，动态调整资源分区大小，实现资源的高效利用。Beloglazov和Buyya[</w:t>
      </w:r>
      <w:r>
        <w:rPr>
          <w:rFonts w:eastAsia="等线" w:ascii="Arial" w:cs="Arial" w:hAnsi="Arial"/>
          <w:sz w:val="22"/>
        </w:rPr>
        <w:t>2</w:t>
      </w:r>
      <w:r>
        <w:rPr>
          <w:rFonts w:eastAsia="等线" w:ascii="Arial" w:cs="Arial" w:hAnsi="Arial"/>
          <w:sz w:val="22"/>
        </w:rPr>
        <w:t>]提出了一种能源和性能高效的虚拟机动态整合算法，通过在线确定性算法和自适应启发式方法，在保证服务质量的前提下，最小化能源消耗。</w:t>
      </w:r>
    </w:p>
    <w:p>
      <w:pPr>
        <w:pStyle w:val="3"/>
        <w:spacing w:before="300" w:after="120" w:line="288" w:lineRule="auto"/>
        <w:ind w:left="0"/>
        <w:jc w:val="left"/>
        <w:outlineLvl w:val="2"/>
      </w:pPr>
      <w:bookmarkStart w:name="heading_8" w:id="8"/>
      <w:r>
        <w:rPr>
          <w:rFonts w:eastAsia="等线" w:ascii="Arial" w:cs="Arial" w:hAnsi="Arial"/>
          <w:b w:val="true"/>
          <w:sz w:val="30"/>
        </w:rPr>
        <w:t>2.3 服务画像技术研究</w:t>
      </w:r>
      <w:bookmarkEnd w:id="8"/>
    </w:p>
    <w:p>
      <w:pPr>
        <w:spacing w:before="120" w:after="120" w:line="288" w:lineRule="auto"/>
        <w:ind w:left="0"/>
        <w:jc w:val="left"/>
      </w:pPr>
      <w:r>
        <w:rPr>
          <w:rFonts w:eastAsia="等线" w:ascii="Arial" w:cs="Arial" w:hAnsi="Arial"/>
          <w:sz w:val="22"/>
        </w:rPr>
        <w:t>服务画像技术是近年来云计算资源管理领域的重要研究方向，其核心是通过分析服务的资源使用模式，建立服务资源需求的特征描述，为资源管理决策提供依据。</w:t>
      </w:r>
    </w:p>
    <w:p>
      <w:pPr>
        <w:spacing w:before="120" w:after="120" w:line="288" w:lineRule="auto"/>
        <w:ind w:left="0"/>
        <w:jc w:val="left"/>
      </w:pPr>
      <w:r>
        <w:rPr>
          <w:rFonts w:eastAsia="等线" w:ascii="Arial" w:cs="Arial" w:hAnsi="Arial"/>
          <w:sz w:val="22"/>
        </w:rPr>
        <w:t>容器资源使用模式分析方法是服务画像技术的基础。这类方法通过收集容器的资源使用数据（如CPU、内存、网络等），分析资源使用的时间分布、空间分布和相关性，识别服务的资源使用特征。</w:t>
      </w:r>
    </w:p>
    <w:p>
      <w:pPr>
        <w:spacing w:before="120" w:after="120" w:line="288" w:lineRule="auto"/>
        <w:ind w:left="0"/>
        <w:jc w:val="left"/>
      </w:pPr>
      <w:r>
        <w:rPr>
          <w:rFonts w:eastAsia="等线" w:ascii="Arial" w:cs="Arial" w:hAnsi="Arial"/>
          <w:sz w:val="22"/>
        </w:rPr>
        <w:t>基于历史数据的服务资源需求预测是服务画像技术的重要应用。这类方法通过分析服务的历史资源使用数据，建立预测模型，预测服务未来的资源需求。常用的预测方法包括时间序列分析、机器学习等。</w:t>
      </w:r>
    </w:p>
    <w:p>
      <w:pPr>
        <w:spacing w:before="120" w:after="120" w:line="288" w:lineRule="auto"/>
        <w:ind w:left="0"/>
        <w:jc w:val="left"/>
      </w:pPr>
      <w:r>
        <w:rPr>
          <w:rFonts w:eastAsia="等线" w:ascii="Arial" w:cs="Arial" w:hAnsi="Arial"/>
          <w:sz w:val="22"/>
        </w:rPr>
        <w:t>服务画像在资源管理中的应用案例不断增加。例如，Google的Borg系统[</w:t>
      </w:r>
      <w:r>
        <w:rPr>
          <w:rFonts w:eastAsia="等线" w:ascii="Arial" w:cs="Arial" w:hAnsi="Arial"/>
          <w:sz w:val="22"/>
        </w:rPr>
        <w:t>3</w:t>
      </w:r>
      <w:r>
        <w:rPr>
          <w:rFonts w:eastAsia="等线" w:ascii="Arial" w:cs="Arial" w:hAnsi="Arial"/>
          <w:sz w:val="22"/>
        </w:rPr>
        <w:t>]利用服务画像技术优化资源分配；阿里巴巴的Sigma调度系统利用服务画像技术提高资源利用率。这些案例表明，服务画像技术在实际应用中具有重要价值。</w:t>
      </w:r>
    </w:p>
    <w:p>
      <w:pPr>
        <w:spacing w:before="120" w:after="120" w:line="288" w:lineRule="auto"/>
        <w:ind w:left="0"/>
        <w:jc w:val="left"/>
      </w:pPr>
      <w:r>
        <w:rPr>
          <w:rFonts w:eastAsia="等线" w:ascii="Arial" w:cs="Arial" w:hAnsi="Arial"/>
          <w:sz w:val="22"/>
        </w:rPr>
        <w:t>Cortez等人[</w:t>
      </w:r>
      <w:r>
        <w:rPr>
          <w:rFonts w:eastAsia="等线" w:ascii="Arial" w:cs="Arial" w:hAnsi="Arial"/>
          <w:sz w:val="22"/>
        </w:rPr>
        <w:t>4]提出了Resource Central系统，通过收集和分析工作负载数据，预测资源需求，为资源管理提供决策支持。Delimitrou和Kozyrakis[</w:t>
      </w:r>
      <w:r>
        <w:rPr>
          <w:rFonts w:eastAsia="等线" w:ascii="Arial" w:cs="Arial" w:hAnsi="Arial"/>
          <w:sz w:val="22"/>
        </w:rPr>
        <w:t>5</w:t>
      </w:r>
      <w:r>
        <w:rPr>
          <w:rFonts w:eastAsia="等线" w:ascii="Arial" w:cs="Arial" w:hAnsi="Arial"/>
          <w:sz w:val="22"/>
        </w:rPr>
        <w:t>]提出了Quasar系统，通过分类和协同过滤技术，预测应用的资源需求和干扰敏感度，实现资源高效分配和QoS保障。</w:t>
      </w:r>
    </w:p>
    <w:p>
      <w:pPr>
        <w:pStyle w:val="2"/>
        <w:spacing w:before="320" w:after="120" w:line="288" w:lineRule="auto"/>
        <w:ind w:left="0"/>
        <w:jc w:val="left"/>
        <w:outlineLvl w:val="1"/>
      </w:pPr>
      <w:bookmarkStart w:name="heading_9" w:id="9"/>
      <w:r>
        <w:rPr>
          <w:rFonts w:eastAsia="等线" w:ascii="Arial" w:cs="Arial" w:hAnsi="Arial"/>
          <w:b w:val="true"/>
          <w:sz w:val="32"/>
        </w:rPr>
        <w:t>3. 方法论</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3.1 热点调度策略</w:t>
      </w:r>
      <w:bookmarkEnd w:id="10"/>
    </w:p>
    <w:p>
      <w:pPr>
        <w:pStyle w:val="4"/>
        <w:spacing w:before="260" w:after="120" w:line="288" w:lineRule="auto"/>
        <w:ind w:left="0"/>
        <w:jc w:val="left"/>
        <w:outlineLvl w:val="3"/>
      </w:pPr>
      <w:bookmarkStart w:name="heading_11" w:id="11"/>
      <w:r>
        <w:rPr>
          <w:rFonts w:eastAsia="等线" w:ascii="Arial" w:cs="Arial" w:hAnsi="Arial"/>
          <w:b w:val="true"/>
          <w:sz w:val="28"/>
        </w:rPr>
        <w:t>3.1.1 设计目标</w:t>
      </w:r>
      <w:bookmarkEnd w:id="11"/>
    </w:p>
    <w:p>
      <w:pPr>
        <w:spacing w:before="120" w:after="120" w:line="288" w:lineRule="auto"/>
        <w:ind w:left="0"/>
        <w:jc w:val="left"/>
      </w:pPr>
      <w:r>
        <w:rPr>
          <w:rFonts w:eastAsia="等线" w:ascii="Arial" w:cs="Arial" w:hAnsi="Arial"/>
          <w:sz w:val="22"/>
        </w:rPr>
        <w:t>热点调度策略的主要设计目标包括：</w:t>
      </w:r>
    </w:p>
    <w:p>
      <w:pPr>
        <w:numPr>
          <w:numId w:val="8"/>
        </w:numPr>
        <w:spacing w:before="120" w:after="120" w:line="288" w:lineRule="auto"/>
        <w:ind w:left="0"/>
        <w:jc w:val="left"/>
      </w:pPr>
      <w:r>
        <w:rPr>
          <w:rFonts w:eastAsia="等线" w:ascii="Arial" w:cs="Arial" w:hAnsi="Arial"/>
          <w:b w:val="true"/>
          <w:sz w:val="22"/>
        </w:rPr>
        <w:t>均衡机器利用率</w:t>
      </w:r>
      <w:r>
        <w:rPr>
          <w:rFonts w:eastAsia="等线" w:ascii="Arial" w:cs="Arial" w:hAnsi="Arial"/>
          <w:sz w:val="22"/>
        </w:rPr>
        <w:t>：通过调度算法的调整，使集群内机器的利用率更为平均、更为均衡，避免部分机器成为热点而其他机器负载较低的情况。</w:t>
      </w:r>
    </w:p>
    <w:p>
      <w:pPr>
        <w:numPr>
          <w:numId w:val="9"/>
        </w:numPr>
        <w:spacing w:before="120" w:after="120" w:line="288" w:lineRule="auto"/>
        <w:ind w:left="0"/>
        <w:jc w:val="left"/>
      </w:pPr>
      <w:r>
        <w:rPr>
          <w:rFonts w:eastAsia="等线" w:ascii="Arial" w:cs="Arial" w:hAnsi="Arial"/>
          <w:b w:val="true"/>
          <w:sz w:val="22"/>
        </w:rPr>
        <w:t>保障服务质量</w:t>
      </w:r>
      <w:r>
        <w:rPr>
          <w:rFonts w:eastAsia="等线" w:ascii="Arial" w:cs="Arial" w:hAnsi="Arial"/>
          <w:sz w:val="22"/>
        </w:rPr>
        <w:t>：确保业务容器不会因为调度问题频繁进入热点状态，影响服务质量。</w:t>
      </w:r>
    </w:p>
    <w:p>
      <w:pPr>
        <w:spacing w:before="120" w:after="120" w:line="288" w:lineRule="auto"/>
        <w:ind w:left="0"/>
        <w:jc w:val="left"/>
      </w:pPr>
      <w:r>
        <w:rPr>
          <w:rFonts w:eastAsia="等线" w:ascii="Arial" w:cs="Arial" w:hAnsi="Arial"/>
          <w:sz w:val="22"/>
        </w:rPr>
        <w:t>具体效果可以通过以下示例说明：当存在两台机器，利用率分别为0.6和0.5时，应优先选择利用率为0.5的机器进行调度；当面临资源质量与稀缺资源的抉择时（如一台高负载机器vs一台有GPU的空闲机器），应优先保证服务运行的最低质量。</w:t>
      </w:r>
    </w:p>
    <w:p>
      <w:pPr>
        <w:spacing w:before="120" w:after="120" w:line="288" w:lineRule="auto"/>
        <w:ind w:left="0"/>
        <w:jc w:val="center"/>
      </w:pPr>
      <w:r>
        <w:drawing>
          <wp:inline distT="0" distR="0" distB="0" distL="0">
            <wp:extent cx="3810000" cy="6400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3810000" cy="64008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图1：热点调度策略示例。当存在两台机器HostA和HostB，利用率分别为0.6和0.5时，调度系统应优先选择利用率为0.5的HostB进行调度，以实现更均衡的资源分布。</w:t>
      </w:r>
    </w:p>
    <w:p>
      <w:pPr>
        <w:pStyle w:val="4"/>
        <w:spacing w:before="260" w:after="120" w:line="288" w:lineRule="auto"/>
        <w:ind w:left="0"/>
        <w:jc w:val="left"/>
        <w:outlineLvl w:val="3"/>
      </w:pPr>
      <w:bookmarkStart w:name="heading_12" w:id="12"/>
      <w:r>
        <w:rPr>
          <w:rFonts w:eastAsia="等线" w:ascii="Arial" w:cs="Arial" w:hAnsi="Arial"/>
          <w:b w:val="true"/>
          <w:sz w:val="28"/>
        </w:rPr>
        <w:t>3.1.2 特征值计算机制</w:t>
      </w:r>
      <w:bookmarkEnd w:id="12"/>
    </w:p>
    <w:p>
      <w:pPr>
        <w:spacing w:before="120" w:after="120" w:line="288" w:lineRule="auto"/>
        <w:ind w:left="0"/>
        <w:jc w:val="left"/>
      </w:pPr>
      <w:r>
        <w:rPr>
          <w:rFonts w:eastAsia="等线" w:ascii="Arial" w:cs="Arial" w:hAnsi="Arial"/>
          <w:sz w:val="22"/>
        </w:rPr>
        <w:t>热点调度算法的核心是通过计算特征值来选择合适的机器，特征值分数越大的机器越不适合调度，倾向于将实例调度到特征值分数小的机器上。特征值计算机制包括以下几个方面：</w:t>
      </w:r>
    </w:p>
    <w:p>
      <w:pPr>
        <w:numPr>
          <w:numId w:val="10"/>
        </w:numPr>
        <w:spacing w:before="120" w:after="120" w:line="288" w:lineRule="auto"/>
        <w:ind w:left="0"/>
        <w:jc w:val="left"/>
      </w:pPr>
      <w:r>
        <w:rPr>
          <w:rFonts w:eastAsia="等线" w:ascii="Arial" w:cs="Arial" w:hAnsi="Arial"/>
          <w:b w:val="true"/>
          <w:sz w:val="22"/>
        </w:rPr>
        <w:t>特征值与容器资源利用率的关系</w:t>
      </w:r>
      <w:r>
        <w:rPr>
          <w:rFonts w:eastAsia="等线" w:ascii="Arial" w:cs="Arial" w:hAnsi="Arial"/>
          <w:sz w:val="22"/>
        </w:rPr>
        <w:t>：特征值与容器的资源利用率正相关，即容器资源利用率越高，特征值越大。</w:t>
      </w:r>
    </w:p>
    <w:p>
      <w:pPr>
        <w:numPr>
          <w:numId w:val="11"/>
        </w:numPr>
        <w:spacing w:before="120" w:after="120" w:line="288" w:lineRule="auto"/>
        <w:ind w:left="0"/>
        <w:jc w:val="left"/>
      </w:pPr>
      <w:r>
        <w:rPr>
          <w:rFonts w:eastAsia="等线" w:ascii="Arial" w:cs="Arial" w:hAnsi="Arial"/>
          <w:b w:val="true"/>
          <w:sz w:val="22"/>
        </w:rPr>
        <w:t>80分位点峰值利用率的选择</w:t>
      </w:r>
      <w:r>
        <w:rPr>
          <w:rFonts w:eastAsia="等线" w:ascii="Arial" w:cs="Arial" w:hAnsi="Arial"/>
          <w:sz w:val="22"/>
        </w:rPr>
        <w:t>：对于可以画像的服务，选择80分位点的峰值利用率时的quota使用作为容器的峰值，这一选择基于对服务资源使用模式的统计分析。</w:t>
      </w:r>
    </w:p>
    <w:p>
      <w:pPr>
        <w:numPr>
          <w:numId w:val="12"/>
        </w:numPr>
        <w:spacing w:before="120" w:after="120" w:line="288" w:lineRule="auto"/>
        <w:ind w:left="0"/>
        <w:jc w:val="left"/>
      </w:pPr>
      <w:r>
        <w:rPr>
          <w:rFonts w:eastAsia="等线" w:ascii="Arial" w:cs="Arial" w:hAnsi="Arial"/>
          <w:b w:val="true"/>
          <w:sz w:val="22"/>
        </w:rPr>
        <w:t>归一化处理与阈值设定</w:t>
      </w:r>
      <w:r>
        <w:rPr>
          <w:rFonts w:eastAsia="等线" w:ascii="Arial" w:cs="Arial" w:hAnsi="Arial"/>
          <w:sz w:val="22"/>
        </w:rPr>
        <w:t>：通过整个集群的均值进行归一化，使特征值具有可比性；设定阈值δ=0.3，避免对特征值变化过于敏感。</w:t>
      </w:r>
    </w:p>
    <w:p>
      <w:pPr>
        <w:spacing w:before="120" w:after="120" w:line="288" w:lineRule="auto"/>
        <w:ind w:left="0"/>
        <w:jc w:val="left"/>
      </w:pPr>
      <w:r>
        <w:rPr>
          <w:rFonts w:eastAsia="等线" w:ascii="Arial" w:cs="Arial" w:hAnsi="Arial"/>
          <w:sz w:val="22"/>
        </w:rPr>
        <w:t>特征值计算的具体实现考虑了以下因素：</w:t>
      </w:r>
    </w:p>
    <w:p>
      <w:pPr>
        <w:numPr>
          <w:numId w:val="13"/>
        </w:numPr>
        <w:spacing w:before="120" w:after="120" w:line="288" w:lineRule="auto"/>
        <w:ind w:left="0"/>
        <w:jc w:val="left"/>
      </w:pPr>
      <w:r>
        <w:rPr>
          <w:rFonts w:eastAsia="等线" w:ascii="Arial" w:cs="Arial" w:hAnsi="Arial"/>
          <w:b w:val="true"/>
          <w:sz w:val="22"/>
        </w:rPr>
        <w:t>结构化碎片处理</w:t>
      </w:r>
      <w:r>
        <w:rPr>
          <w:rFonts w:eastAsia="等线" w:ascii="Arial" w:cs="Arial" w:hAnsi="Arial"/>
          <w:sz w:val="22"/>
        </w:rPr>
        <w:t>：通过整个集群的均值进行归一化，趋向于选择分数更低的机器。</w:t>
      </w:r>
    </w:p>
    <w:p>
      <w:pPr>
        <w:spacing w:before="120" w:after="120" w:line="288" w:lineRule="auto"/>
        <w:ind w:left="453"/>
        <w:jc w:val="left"/>
      </w:pPr>
      <w:r>
        <w:rPr>
          <w:rFonts w:eastAsia="等线" w:ascii="Arial" w:cs="Arial" w:hAnsi="Arial"/>
          <w:sz w:val="22"/>
        </w:rPr>
        <w:t>结构化碎片的计算考虑了CPU和内存的利用率差异：</w:t>
      </w:r>
    </w:p>
    <w:p>
      <w:pPr>
        <w:spacing w:before="120" w:after="120" w:line="288" w:lineRule="auto"/>
        <w:ind w:left="453"/>
        <w:jc w:val="left"/>
      </w:pPr>
      <w:r>
        <w:rPr>
          <w:rFonts w:eastAsia="等线" w:ascii="Arial" w:cs="Arial" w:hAnsi="Arial"/>
          <w:sz w:val="22"/>
        </w:rPr>
      </w:r>
      <m:oMath xmlns:mml="http://www.w3.org/1998/Math/MathML">
        <m:sSub>
          <m:e>
            <m:r>
              <w:rPr>
                <w:rFonts w:ascii="Cambria Math" w:hAnsi="Cambria Math"/>
              </w:rPr>
              <m:t>u</m:t>
            </m:r>
          </m:e>
          <m:sub>
            <m:r>
              <w:rPr>
                <w:rFonts w:ascii="Cambria Math" w:hAnsi="Cambria Math"/>
              </w:rPr>
              <m:t>cpu</m:t>
            </m:r>
          </m:sub>
        </m:sSub>
        <m:r>
          <w:rPr>
            <w:rFonts w:ascii="Cambria Math" w:hAnsi="Cambria Math"/>
          </w:rPr>
          <m:t>=</m:t>
        </m:r>
        <m:f>
          <m:fPr>
            <m:type m:val="bar"/>
          </m:fPr>
          <m:num>
            <m:sSub>
              <m:e>
                <m:r>
                  <w:rPr>
                    <w:rFonts w:ascii="Cambria Math" w:hAnsi="Cambria Math"/>
                  </w:rPr>
                  <m:t>U</m:t>
                </m:r>
              </m:e>
              <m:sub>
                <m:r>
                  <w:rPr>
                    <w:rFonts w:ascii="Cambria Math" w:hAnsi="Cambria Math"/>
                  </w:rPr>
                  <m:t>cpu</m:t>
                </m:r>
              </m:sub>
            </m:sSub>
            <m:r>
              <w:rPr>
                <w:rFonts w:ascii="Cambria Math" w:hAnsi="Cambria Math"/>
              </w:rPr>
              <m:t>+</m:t>
            </m:r>
            <m:sSub>
              <m:e>
                <m:r>
                  <w:rPr>
                    <w:rFonts w:ascii="Cambria Math" w:hAnsi="Cambria Math"/>
                  </w:rPr>
                  <m:t>U</m:t>
                </m:r>
              </m:e>
              <m:sub>
                <m:r>
                  <w:rPr>
                    <w:rFonts w:ascii="Cambria Math" w:hAnsi="Cambria Math"/>
                  </w:rPr>
                  <m:t>cp</m:t>
                </m:r>
                <m:sSub>
                  <m:e>
                    <m:r>
                      <w:rPr>
                        <w:rFonts w:ascii="Cambria Math" w:hAnsi="Cambria Math"/>
                      </w:rPr>
                      <m:t>u</m:t>
                    </m:r>
                  </m:e>
                  <m:sub>
                    <m:sSub>
                      <m:e>
                        <m:r>
                          <w:rPr>
                            <w:rFonts w:ascii="Cambria Math" w:hAnsi="Cambria Math"/>
                          </w:rPr>
                          <m:t>c</m:t>
                        </m:r>
                      </m:e>
                      <m:sub>
                        <m:r>
                          <w:rPr>
                            <w:rFonts w:ascii="Cambria Math" w:hAnsi="Cambria Math"/>
                          </w:rPr>
                          <m:t>0</m:t>
                        </m:r>
                      </m:sub>
                    </m:sSub>
                  </m:sub>
                </m:sSub>
              </m:sub>
            </m:sSub>
          </m:num>
          <m:den>
            <m:r>
              <w:rPr>
                <w:rFonts w:ascii="Cambria Math" w:hAnsi="Cambria Math"/>
              </w:rPr>
              <m:t>Tota</m:t>
            </m:r>
            <m:sSub>
              <m:e>
                <m:r>
                  <w:rPr>
                    <w:rFonts w:ascii="Cambria Math" w:hAnsi="Cambria Math"/>
                  </w:rPr>
                  <m:t>l</m:t>
                </m:r>
              </m:e>
              <m:sub>
                <m:r>
                  <w:rPr>
                    <w:rFonts w:ascii="Cambria Math" w:hAnsi="Cambria Math"/>
                  </w:rPr>
                  <m:t>cpu</m:t>
                </m:r>
              </m:sub>
            </m:sSub>
          </m:den>
        </m:f>
      </m:oMath>
    </w:p>
    <w:p>
      <w:pPr>
        <w:spacing w:before="120" w:after="120" w:line="288" w:lineRule="auto"/>
        <w:ind w:left="453"/>
        <w:jc w:val="left"/>
      </w:pPr>
      <w:r>
        <w:rPr>
          <w:rFonts w:eastAsia="等线" w:ascii="Arial" w:cs="Arial" w:hAnsi="Arial"/>
          <w:sz w:val="22"/>
        </w:rPr>
      </w:r>
      <m:oMath xmlns:mml="http://www.w3.org/1998/Math/MathML">
        <m:sSub>
          <m:e>
            <m:r>
              <w:rPr>
                <w:rFonts w:ascii="Cambria Math" w:hAnsi="Cambria Math"/>
              </w:rPr>
              <m:t>u</m:t>
            </m:r>
          </m:e>
          <m:sub>
            <m:r>
              <w:rPr>
                <w:rFonts w:ascii="Cambria Math" w:hAnsi="Cambria Math"/>
              </w:rPr>
              <m:t>memory</m:t>
            </m:r>
          </m:sub>
        </m:sSub>
        <m:r>
          <w:rPr>
            <w:rFonts w:ascii="Cambria Math" w:hAnsi="Cambria Math"/>
          </w:rPr>
          <m:t>=</m:t>
        </m:r>
        <m:f>
          <m:fPr>
            <m:type m:val="bar"/>
          </m:fPr>
          <m:num>
            <m:sSub>
              <m:e>
                <m:r>
                  <w:rPr>
                    <w:rFonts w:ascii="Cambria Math" w:hAnsi="Cambria Math"/>
                  </w:rPr>
                  <m:t>U</m:t>
                </m:r>
              </m:e>
              <m:sub>
                <m:r>
                  <w:rPr>
                    <w:rFonts w:ascii="Cambria Math" w:hAnsi="Cambria Math"/>
                  </w:rPr>
                  <m:t>memory</m:t>
                </m:r>
              </m:sub>
            </m:sSub>
            <m:r>
              <w:rPr>
                <w:rFonts w:ascii="Cambria Math" w:hAnsi="Cambria Math"/>
              </w:rPr>
              <m:t>+</m:t>
            </m:r>
            <m:sSub>
              <m:e>
                <m:r>
                  <w:rPr>
                    <w:rFonts w:ascii="Cambria Math" w:hAnsi="Cambria Math"/>
                  </w:rPr>
                  <m:t>U</m:t>
                </m:r>
              </m:e>
              <m:sub>
                <m:r>
                  <w:rPr>
                    <w:rFonts w:ascii="Cambria Math" w:hAnsi="Cambria Math"/>
                  </w:rPr>
                  <m:t>memor</m:t>
                </m:r>
                <m:sSub>
                  <m:e>
                    <m:r>
                      <w:rPr>
                        <w:rFonts w:ascii="Cambria Math" w:hAnsi="Cambria Math"/>
                      </w:rPr>
                      <m:t>y</m:t>
                    </m:r>
                  </m:e>
                  <m:sub>
                    <m:sSub>
                      <m:e>
                        <m:r>
                          <w:rPr>
                            <w:rFonts w:ascii="Cambria Math" w:hAnsi="Cambria Math"/>
                          </w:rPr>
                          <m:t>c</m:t>
                        </m:r>
                      </m:e>
                      <m:sub>
                        <m:r>
                          <w:rPr>
                            <w:rFonts w:ascii="Cambria Math" w:hAnsi="Cambria Math"/>
                          </w:rPr>
                          <m:t>0</m:t>
                        </m:r>
                      </m:sub>
                    </m:sSub>
                  </m:sub>
                </m:sSub>
              </m:sub>
            </m:sSub>
          </m:num>
          <m:den>
            <m:r>
              <w:rPr>
                <w:rFonts w:ascii="Cambria Math" w:hAnsi="Cambria Math"/>
              </w:rPr>
              <m:t>Tota</m:t>
            </m:r>
            <m:sSub>
              <m:e>
                <m:r>
                  <w:rPr>
                    <w:rFonts w:ascii="Cambria Math" w:hAnsi="Cambria Math"/>
                  </w:rPr>
                  <m:t>l</m:t>
                </m:r>
              </m:e>
              <m:sub>
                <m:r>
                  <w:rPr>
                    <w:rFonts w:ascii="Cambria Math" w:hAnsi="Cambria Math"/>
                  </w:rPr>
                  <m:t>memory</m:t>
                </m:r>
              </m:sub>
            </m:sSub>
          </m:den>
        </m:f>
      </m:oMath>
    </w:p>
    <w:p>
      <w:pPr>
        <w:spacing w:before="120" w:after="120" w:line="288" w:lineRule="auto"/>
        <w:ind w:left="453"/>
        <w:jc w:val="left"/>
      </w:pPr>
      <w:r>
        <w:rPr>
          <w:rFonts w:eastAsia="等线" w:ascii="Arial" w:cs="Arial" w:hAnsi="Arial"/>
          <w:sz w:val="22"/>
        </w:rPr>
      </w:r>
      <m:oMath xmlns:mml="http://www.w3.org/1998/Math/MathML">
        <m:sSub>
          <m:e>
            <m:r>
              <w:rPr>
                <w:rFonts w:ascii="Cambria Math" w:hAnsi="Cambria Math"/>
              </w:rPr>
              <m:t>s</m:t>
            </m:r>
          </m:e>
          <m:sub>
            <m:r>
              <w:rPr>
                <w:rFonts w:ascii="Cambria Math" w:hAnsi="Cambria Math"/>
              </w:rPr>
              <m:t>fram</m:t>
            </m:r>
          </m:sub>
        </m:sSub>
        <m:r>
          <w:rPr>
            <w:rFonts w:ascii="Cambria Math" w:hAnsi="Cambria Math"/>
          </w:rPr>
          <m:t>=|</m:t>
        </m:r>
        <m:f>
          <m:fPr>
            <m:type m:val="bar"/>
          </m:fPr>
          <m:num>
            <m:sSup>
              <m:e>
                <m:d>
                  <m:dPr>
                    <m:sepChr m:val=","/>
                  </m:dPr>
                  <m:e>
                    <m:sSub>
                      <m:e>
                        <m:r>
                          <w:rPr>
                            <w:rFonts w:ascii="Cambria Math" w:hAnsi="Cambria Math"/>
                          </w:rPr>
                          <m:t>u</m:t>
                        </m:r>
                      </m:e>
                      <m:sub>
                        <m:r>
                          <w:rPr>
                            <w:rFonts w:ascii="Cambria Math" w:hAnsi="Cambria Math"/>
                          </w:rPr>
                          <m:t>cpu</m:t>
                        </m:r>
                      </m:sub>
                    </m:sSub>
                    <m:r>
                      <w:rPr>
                        <w:rFonts w:ascii="Cambria Math" w:hAnsi="Cambria Math"/>
                      </w:rPr>
                      <m:t>-</m:t>
                    </m:r>
                    <m:acc>
                      <m:accPr>
                        <m:chr m:val="̅"/>
                      </m:accPr>
                      <m:e>
                        <m:sSub>
                          <m:e>
                            <m:r>
                              <w:rPr>
                                <w:rFonts w:ascii="Cambria Math" w:hAnsi="Cambria Math"/>
                              </w:rPr>
                              <m:t>u</m:t>
                            </m:r>
                          </m:e>
                          <m:sub>
                            <m:r>
                              <w:rPr>
                                <w:rFonts w:ascii="Cambria Math" w:hAnsi="Cambria Math"/>
                              </w:rPr>
                              <m:t>cpu</m:t>
                            </m:r>
                          </m:sub>
                        </m:sSub>
                      </m:e>
                    </m:acc>
                  </m:e>
                </m:d>
              </m:e>
              <m:sup>
                <m:r>
                  <w:rPr>
                    <w:rFonts w:ascii="Cambria Math" w:hAnsi="Cambria Math"/>
                  </w:rPr>
                  <m:t>2</m:t>
                </m:r>
              </m:sup>
            </m:sSup>
          </m:num>
          <m:den>
            <m:acc>
              <m:accPr>
                <m:chr m:val="̅"/>
              </m:accPr>
              <m:e>
                <m:sSub>
                  <m:e>
                    <m:r>
                      <w:rPr>
                        <w:rFonts w:ascii="Cambria Math" w:hAnsi="Cambria Math"/>
                      </w:rPr>
                      <m:t>u</m:t>
                    </m:r>
                  </m:e>
                  <m:sub>
                    <m:r>
                      <w:rPr>
                        <w:rFonts w:ascii="Cambria Math" w:hAnsi="Cambria Math"/>
                      </w:rPr>
                      <m:t>cpu</m:t>
                    </m:r>
                  </m:sub>
                </m:sSub>
              </m:e>
            </m:acc>
          </m:den>
        </m:f>
        <m:r>
          <w:rPr>
            <w:rFonts w:ascii="Cambria Math" w:hAnsi="Cambria Math"/>
          </w:rPr>
          <m:t>-</m:t>
        </m:r>
        <m:f>
          <m:fPr>
            <m:type m:val="bar"/>
          </m:fPr>
          <m:num>
            <m:sSup>
              <m:e>
                <m:d>
                  <m:dPr>
                    <m:sepChr m:val=","/>
                  </m:dPr>
                  <m:e>
                    <m:sSub>
                      <m:e>
                        <m:r>
                          <w:rPr>
                            <w:rFonts w:ascii="Cambria Math" w:hAnsi="Cambria Math"/>
                          </w:rPr>
                          <m:t>u</m:t>
                        </m:r>
                      </m:e>
                      <m:sub>
                        <m:r>
                          <w:rPr>
                            <w:rFonts w:ascii="Cambria Math" w:hAnsi="Cambria Math"/>
                          </w:rPr>
                          <m:t>memory</m:t>
                        </m:r>
                      </m:sub>
                    </m:sSub>
                    <m:r>
                      <w:rPr>
                        <w:rFonts w:ascii="Cambria Math" w:hAnsi="Cambria Math"/>
                      </w:rPr>
                      <m:t>-</m:t>
                    </m:r>
                    <m:acc>
                      <m:accPr>
                        <m:chr m:val="̅"/>
                      </m:accPr>
                      <m:e>
                        <m:sSub>
                          <m:e>
                            <m:r>
                              <w:rPr>
                                <w:rFonts w:ascii="Cambria Math" w:hAnsi="Cambria Math"/>
                              </w:rPr>
                              <m:t>u</m:t>
                            </m:r>
                          </m:e>
                          <m:sub>
                            <m:r>
                              <w:rPr>
                                <w:rFonts w:ascii="Cambria Math" w:hAnsi="Cambria Math"/>
                              </w:rPr>
                              <m:t>memory</m:t>
                            </m:r>
                          </m:sub>
                        </m:sSub>
                      </m:e>
                    </m:acc>
                  </m:e>
                </m:d>
              </m:e>
              <m:sup>
                <m:r>
                  <w:rPr>
                    <w:rFonts w:ascii="Cambria Math" w:hAnsi="Cambria Math"/>
                  </w:rPr>
                  <m:t>2</m:t>
                </m:r>
              </m:sup>
            </m:sSup>
          </m:num>
          <m:den>
            <m:acc>
              <m:accPr>
                <m:chr m:val="̅"/>
              </m:accPr>
              <m:e>
                <m:sSub>
                  <m:e>
                    <m:r>
                      <w:rPr>
                        <w:rFonts w:ascii="Cambria Math" w:hAnsi="Cambria Math"/>
                      </w:rPr>
                      <m:t>u</m:t>
                    </m:r>
                  </m:e>
                  <m:sub>
                    <m:r>
                      <w:rPr>
                        <w:rFonts w:ascii="Cambria Math" w:hAnsi="Cambria Math"/>
                      </w:rPr>
                      <m:t>memory</m:t>
                    </m:r>
                  </m:sub>
                </m:sSub>
              </m:e>
            </m:acc>
          </m:den>
        </m:f>
        <m:r>
          <w:rPr>
            <w:rFonts w:ascii="Cambria Math" w:hAnsi="Cambria Math"/>
          </w:rPr>
          <m:t>|</m:t>
        </m:r>
      </m:oMath>
    </w:p>
    <w:p>
      <w:pPr>
        <w:numPr>
          <w:numId w:val="14"/>
        </w:numPr>
        <w:spacing w:before="120" w:after="120" w:line="288" w:lineRule="auto"/>
        <w:ind w:left="0"/>
        <w:jc w:val="left"/>
      </w:pPr>
      <w:r>
        <w:rPr>
          <w:rFonts w:eastAsia="等线" w:ascii="Arial" w:cs="Arial" w:hAnsi="Arial"/>
          <w:b w:val="true"/>
          <w:sz w:val="22"/>
        </w:rPr>
        <w:t>特征值比较</w:t>
      </w:r>
      <w:r>
        <w:rPr>
          <w:rFonts w:eastAsia="等线" w:ascii="Arial" w:cs="Arial" w:hAnsi="Arial"/>
          <w:sz w:val="22"/>
        </w:rPr>
        <w:t>：采用差值比较而非绝对大小比较，设定阈值δ=0.3，避免对特征值变化过于敏感。</w:t>
      </w:r>
    </w:p>
    <w:p>
      <w:pPr>
        <w:spacing w:before="120" w:after="120" w:line="288" w:lineRule="auto"/>
        <w:ind w:left="453"/>
        <w:jc w:val="left"/>
      </w:pPr>
      <w:r>
        <w:rPr>
          <w:rFonts w:eastAsia="等线" w:ascii="Arial" w:cs="Arial" w:hAnsi="Arial"/>
          <w:sz w:val="22"/>
        </w:rPr>
        <w:t>特征值计算的数学模型如下：</w:t>
      </w:r>
    </w:p>
    <w:p>
      <w:pPr>
        <w:spacing w:before="120" w:after="120" w:line="288" w:lineRule="auto"/>
        <w:ind w:left="453"/>
        <w:jc w:val="left"/>
      </w:pPr>
      <w:r>
        <w:rPr>
          <w:rFonts w:eastAsia="等线" w:ascii="Arial" w:cs="Arial" w:hAnsi="Arial"/>
          <w:sz w:val="22"/>
        </w:rPr>
      </w:r>
      <m:oMath>
        <m:r>
          <w:rPr>
            <w:rFonts w:ascii="Cambria Math" w:hAnsi="Cambria Math"/>
          </w:rPr>
          <w:t>\vec \lambda_c = \text[U_c(t)], t \in [0,24)
</w:t>
        </m:r>
      </m:oMath>
    </w:p>
    <w:p>
      <w:pPr>
        <w:spacing w:before="120" w:after="120" w:line="288" w:lineRule="auto"/>
        <w:ind w:left="453"/>
        <w:jc w:val="left"/>
      </w:pPr>
      <w:r>
        <w:rPr>
          <w:rFonts w:eastAsia="等线" w:ascii="Arial" w:cs="Arial" w:hAnsi="Arial"/>
          <w:sz w:val="22"/>
        </w:rPr>
        <w:t>其中，</w:t>
      </w:r>
      <w:r>
        <w:rPr>
          <w:rFonts w:eastAsia="等线" w:ascii="Arial" w:cs="Arial" w:hAnsi="Arial"/>
          <w:sz w:val="22"/>
        </w:rPr>
      </w:r>
      <m:oMath xmlns:mml="http://www.w3.org/1998/Math/MathML">
        <m:sSub>
          <m:e>
            <m:acc>
              <m:accPr>
                <m:chr m:val="⃗"/>
              </m:accPr>
              <m:e>
                <m:r>
                  <w:rPr>
                    <w:rFonts w:ascii="Cambria Math" w:hAnsi="Cambria Math"/>
                  </w:rPr>
                  <m:t>λ</m:t>
                </m:r>
              </m:e>
            </m:acc>
          </m:e>
          <m:sub>
            <m:r>
              <w:rPr>
                <w:rFonts w:ascii="Cambria Math" w:hAnsi="Cambria Math"/>
              </w:rPr>
              <m:t>c</m:t>
            </m:r>
          </m:sub>
        </m:sSub>
      </m:oMath>
      <w:r>
        <w:rPr>
          <w:rFonts w:eastAsia="等线" w:ascii="Arial" w:cs="Arial" w:hAnsi="Arial"/>
          <w:sz w:val="22"/>
        </w:rPr>
        <w:t>表示容器c的特征值，</w:t>
      </w:r>
      <w:r>
        <w:rPr>
          <w:rFonts w:eastAsia="等线" w:ascii="Arial" w:cs="Arial" w:hAnsi="Arial"/>
          <w:sz w:val="22"/>
        </w:rPr>
      </w:r>
      <m:oMath xmlns:mml="http://www.w3.org/1998/Math/MathML">
        <m:sSub>
          <m:e>
            <m:r>
              <w:rPr>
                <w:rFonts w:ascii="Cambria Math" w:hAnsi="Cambria Math"/>
              </w:rPr>
              <m:t>U</m:t>
            </m:r>
          </m:e>
          <m:sub>
            <m:r>
              <w:rPr>
                <w:rFonts w:ascii="Cambria Math" w:hAnsi="Cambria Math"/>
              </w:rPr>
              <m:t>c</m:t>
            </m:r>
          </m:sub>
        </m:sSub>
        <m:d>
          <m:dPr>
            <m:sepChr m:val=","/>
          </m:dPr>
          <m:e>
            <m:r>
              <w:rPr>
                <w:rFonts w:ascii="Cambria Math" w:hAnsi="Cambria Math"/>
              </w:rPr>
              <m:t>t</m:t>
            </m:r>
          </m:e>
        </m:d>
      </m:oMath>
      <w:r>
        <w:rPr>
          <w:rFonts w:eastAsia="等线" w:ascii="Arial" w:cs="Arial" w:hAnsi="Arial"/>
          <w:sz w:val="22"/>
        </w:rPr>
        <w:t>表示容器c在t时刻的资源利用率。</w:t>
      </w:r>
    </w:p>
    <w:p>
      <w:pPr>
        <w:spacing w:before="120" w:after="120" w:line="288" w:lineRule="auto"/>
        <w:ind w:left="453"/>
        <w:jc w:val="left"/>
      </w:pPr>
      <w:r>
        <w:rPr>
          <w:rFonts w:eastAsia="等线" w:ascii="Arial" w:cs="Arial" w:hAnsi="Arial"/>
          <w:sz w:val="22"/>
        </w:rPr>
        <w:t>对于机器上的特征值总和，计算公式为：</w:t>
      </w:r>
    </w:p>
    <w:p>
      <w:pPr>
        <w:spacing w:before="120" w:after="120" w:line="288" w:lineRule="auto"/>
        <w:ind w:left="453"/>
        <w:jc w:val="left"/>
      </w:pPr>
      <w:r>
        <w:rPr>
          <w:rFonts w:eastAsia="等线" w:ascii="Arial" w:cs="Arial" w:hAnsi="Arial"/>
          <w:sz w:val="22"/>
        </w:rPr>
      </w:r>
      <m:oMath>
        <m:r>
          <w:rPr>
            <w:rFonts w:ascii="Cambria Math" w:hAnsi="Cambria Math"/>
          </w:rPr>
          <w:t>S = \sum_{c \in \text{Host}} \vec \lambda_c
</w:t>
        </m:r>
      </m:oMath>
    </w:p>
    <w:p>
      <w:pPr>
        <w:spacing w:before="120" w:after="120" w:line="288" w:lineRule="auto"/>
        <w:ind w:left="453"/>
        <w:jc w:val="left"/>
      </w:pPr>
      <w:r>
        <w:rPr>
          <w:rFonts w:eastAsia="等线" w:ascii="Arial" w:cs="Arial" w:hAnsi="Arial"/>
          <w:sz w:val="22"/>
        </w:rPr>
        <w:t>这里在比较两个特征值计算后的分时的时候，不应该用绝对的大小去计算，这样会导致整个集群中对于这个特征值的变化过于</w:t>
      </w:r>
      <w:r>
        <w:rPr>
          <w:rFonts w:eastAsia="等线" w:ascii="Arial" w:cs="Arial" w:hAnsi="Arial"/>
          <w:i w:val="true"/>
          <w:sz w:val="22"/>
        </w:rPr>
        <w:t>敏感</w:t>
      </w:r>
      <w:r>
        <w:rPr>
          <w:rFonts w:eastAsia="等线" w:ascii="Arial" w:cs="Arial" w:hAnsi="Arial"/>
          <w:sz w:val="22"/>
        </w:rPr>
        <w:t>。因此在设计中，特征值的比较，是差值比较。</w:t>
      </w:r>
    </w:p>
    <w:p>
      <w:pPr>
        <w:spacing w:before="120" w:after="120" w:line="288" w:lineRule="auto"/>
        <w:ind w:left="453"/>
        <w:jc w:val="left"/>
      </w:pPr>
      <w:r>
        <w:rPr>
          <w:rFonts w:eastAsia="等线" w:ascii="Arial" w:cs="Arial" w:hAnsi="Arial"/>
          <w:sz w:val="22"/>
        </w:rPr>
        <w:t xml:space="preserve">这里暂时定了一个  </w:t>
      </w:r>
      <w:r>
        <w:rPr>
          <w:rFonts w:eastAsia="等线" w:ascii="Arial" w:cs="Arial" w:hAnsi="Arial"/>
          <w:sz w:val="22"/>
        </w:rPr>
      </w:r>
      <m:oMath xmlns:mml="http://www.w3.org/1998/Math/MathML">
        <m:r>
          <w:rPr>
            <w:rFonts w:ascii="Cambria Math" w:hAnsi="Cambria Math"/>
          </w:rPr>
          <m:t>δ</m:t>
        </m:r>
      </m:oMath>
      <w:r>
        <w:rPr>
          <w:rFonts w:eastAsia="等线" w:ascii="Arial" w:cs="Arial" w:hAnsi="Arial"/>
          <w:sz w:val="22"/>
        </w:rPr>
        <w:t>值，取了0.3。</w:t>
      </w:r>
    </w:p>
    <w:p>
      <w:pPr>
        <w:numPr>
          <w:numId w:val="15"/>
        </w:numPr>
        <w:spacing w:before="120" w:after="120" w:line="288" w:lineRule="auto"/>
        <w:ind w:left="0"/>
        <w:jc w:val="left"/>
      </w:pPr>
      <w:r>
        <w:rPr>
          <w:rFonts w:eastAsia="等线" w:ascii="Arial" w:cs="Arial" w:hAnsi="Arial"/>
          <w:b w:val="true"/>
          <w:sz w:val="22"/>
        </w:rPr>
        <w:t>质量和稀缺资源的抉择</w:t>
      </w:r>
      <w:r>
        <w:rPr>
          <w:rFonts w:eastAsia="等线" w:ascii="Arial" w:cs="Arial" w:hAnsi="Arial"/>
          <w:sz w:val="22"/>
        </w:rPr>
        <w:t>：当带调度容器可能触发热点阈值（预设为0.95）时，放开对稀缺资源的保护。</w:t>
      </w:r>
    </w:p>
    <w:p>
      <w:pPr>
        <w:spacing w:before="120" w:after="120" w:line="288" w:lineRule="auto"/>
        <w:ind w:left="0"/>
        <w:jc w:val="left"/>
      </w:pPr>
    </w:p>
    <w:p>
      <w:pPr>
        <w:pStyle w:val="4"/>
        <w:spacing w:before="260" w:after="120" w:line="288" w:lineRule="auto"/>
        <w:ind w:left="0"/>
        <w:jc w:val="left"/>
        <w:outlineLvl w:val="3"/>
      </w:pPr>
      <w:bookmarkStart w:name="heading_13" w:id="13"/>
      <w:r>
        <w:rPr>
          <w:rFonts w:eastAsia="等线" w:ascii="Arial" w:cs="Arial" w:hAnsi="Arial"/>
          <w:b w:val="true"/>
          <w:sz w:val="28"/>
        </w:rPr>
        <w:t>3.1.3 机器分级调度机制</w:t>
      </w:r>
      <w:bookmarkEnd w:id="13"/>
    </w:p>
    <w:p>
      <w:pPr>
        <w:spacing w:before="120" w:after="120" w:line="288" w:lineRule="auto"/>
        <w:ind w:left="0"/>
        <w:jc w:val="left"/>
      </w:pPr>
      <w:r>
        <w:rPr>
          <w:rFonts w:eastAsia="等线" w:ascii="Arial" w:cs="Arial" w:hAnsi="Arial"/>
          <w:sz w:val="22"/>
        </w:rPr>
        <w:t>为了尽量不侵入现有实现，热点调度策略在排序过程中将机器分为三档：</w:t>
      </w:r>
    </w:p>
    <w:p>
      <w:pPr>
        <w:spacing w:before="120" w:after="120" w:line="288" w:lineRule="auto"/>
        <w:ind w:left="0"/>
        <w:jc w:val="left"/>
      </w:pPr>
      <w:r>
        <w:rPr>
          <w:rFonts w:eastAsia="等线" w:ascii="Arial" w:cs="Arial" w:hAnsi="Arial"/>
          <w:sz w:val="22"/>
        </w:rPr>
        <w:t>热点调度策略的三级机器分类：</w:t>
      </w:r>
    </w:p>
    <w:p>
      <w:pPr>
        <w:numPr>
          <w:numId w:val="16"/>
        </w:numPr>
        <w:spacing w:before="120" w:after="120" w:line="288" w:lineRule="auto"/>
        <w:ind w:left="0"/>
        <w:jc w:val="left"/>
      </w:pPr>
      <w:r>
        <w:rPr>
          <w:rFonts w:eastAsia="等线" w:ascii="Arial" w:cs="Arial" w:hAnsi="Arial"/>
          <w:b w:val="true"/>
          <w:sz w:val="22"/>
        </w:rPr>
        <w:t>Prefer</w:t>
      </w:r>
      <w:r>
        <w:rPr>
          <w:rFonts w:eastAsia="等线" w:ascii="Arial" w:cs="Arial" w:hAnsi="Arial"/>
          <w:sz w:val="22"/>
        </w:rPr>
        <w:t>：更倾向于使用这些机器（主要针对亲和性调度）。这类机器通常是基于业务亲和性考虑，优先级最高。</w:t>
      </w:r>
    </w:p>
    <w:p>
      <w:pPr>
        <w:numPr>
          <w:numId w:val="17"/>
        </w:numPr>
        <w:spacing w:before="120" w:after="120" w:line="288" w:lineRule="auto"/>
        <w:ind w:left="0"/>
        <w:jc w:val="left"/>
      </w:pPr>
      <w:r>
        <w:rPr>
          <w:rFonts w:eastAsia="等线" w:ascii="Arial" w:cs="Arial" w:hAnsi="Arial"/>
          <w:b w:val="true"/>
          <w:sz w:val="22"/>
        </w:rPr>
        <w:t>Normal</w:t>
      </w:r>
      <w:r>
        <w:rPr>
          <w:rFonts w:eastAsia="等线" w:ascii="Arial" w:cs="Arial" w:hAnsi="Arial"/>
          <w:sz w:val="22"/>
        </w:rPr>
        <w:t>：正常使用（采用特征值计算方式考虑调度，实现集群利用率更均衡）。这类机器是调度的主要目标，通过特征值计算决定调度优先级。</w:t>
      </w:r>
    </w:p>
    <w:p>
      <w:pPr>
        <w:numPr>
          <w:numId w:val="18"/>
        </w:numPr>
        <w:spacing w:before="120" w:after="120" w:line="288" w:lineRule="auto"/>
        <w:ind w:left="0"/>
        <w:jc w:val="left"/>
      </w:pPr>
      <w:r>
        <w:rPr>
          <w:rFonts w:eastAsia="等线" w:ascii="Arial" w:cs="Arial" w:hAnsi="Arial"/>
          <w:b w:val="true"/>
          <w:sz w:val="22"/>
        </w:rPr>
        <w:t>No Prefer</w:t>
      </w:r>
      <w:r>
        <w:rPr>
          <w:rFonts w:eastAsia="等线" w:ascii="Arial" w:cs="Arial" w:hAnsi="Arial"/>
          <w:sz w:val="22"/>
        </w:rPr>
        <w:t>：更倾向于不使用的机器（如有no prefer的taint、有稀缺资源的、可能产生热点影响服务质量的）。这类机器通常是最后考虑的，除非特殊情况。</w:t>
      </w:r>
    </w:p>
    <w:p>
      <w:pPr>
        <w:spacing w:before="120" w:after="120" w:line="288" w:lineRule="auto"/>
        <w:ind w:left="0"/>
        <w:jc w:val="left"/>
      </w:pPr>
      <w:r>
        <w:rPr>
          <w:rFonts w:eastAsia="等线" w:ascii="Arial" w:cs="Arial" w:hAnsi="Arial"/>
          <w:sz w:val="22"/>
        </w:rPr>
        <w:t>机器分级调度机制的核心思想是将机器按照不同特征进行分类，然后根据调度需求选择合适的机器类别，在保证服务质量的前提下实现资源均衡分布。</w:t>
      </w:r>
    </w:p>
    <w:p>
      <w:pPr>
        <w:pStyle w:val="3"/>
        <w:spacing w:before="300" w:after="120" w:line="288" w:lineRule="auto"/>
        <w:ind w:left="0"/>
        <w:jc w:val="left"/>
        <w:outlineLvl w:val="2"/>
      </w:pPr>
      <w:bookmarkStart w:name="heading_14" w:id="14"/>
      <w:r>
        <w:rPr>
          <w:rFonts w:eastAsia="等线" w:ascii="Arial" w:cs="Arial" w:hAnsi="Arial"/>
          <w:b w:val="true"/>
          <w:sz w:val="30"/>
        </w:rPr>
        <w:t>3.2 资源超售方法</w:t>
      </w:r>
      <w:bookmarkEnd w:id="14"/>
    </w:p>
    <w:p>
      <w:pPr>
        <w:pStyle w:val="4"/>
        <w:spacing w:before="260" w:after="120" w:line="288" w:lineRule="auto"/>
        <w:ind w:left="0"/>
        <w:jc w:val="left"/>
        <w:outlineLvl w:val="3"/>
      </w:pPr>
      <w:bookmarkStart w:name="heading_15" w:id="15"/>
      <w:r>
        <w:rPr>
          <w:rFonts w:eastAsia="等线" w:ascii="Arial" w:cs="Arial" w:hAnsi="Arial"/>
          <w:b w:val="true"/>
          <w:sz w:val="28"/>
        </w:rPr>
        <w:t>3.2.1 设计目标</w:t>
      </w:r>
      <w:bookmarkEnd w:id="15"/>
    </w:p>
    <w:p>
      <w:pPr>
        <w:spacing w:before="120" w:after="120" w:line="288" w:lineRule="auto"/>
        <w:ind w:left="0"/>
        <w:jc w:val="left"/>
      </w:pPr>
      <w:r>
        <w:rPr>
          <w:rFonts w:eastAsia="等线" w:ascii="Arial" w:cs="Arial" w:hAnsi="Arial"/>
          <w:sz w:val="22"/>
        </w:rPr>
        <w:t>资源超售方法的主要设计目标是：通过资源超售，使机器上更多资源被利用起来，提高整个机器资源使用率至目标水平（约50%）。</w:t>
      </w:r>
    </w:p>
    <w:p>
      <w:pPr>
        <w:spacing w:before="120" w:after="120" w:line="288" w:lineRule="auto"/>
        <w:ind w:left="0"/>
        <w:jc w:val="left"/>
      </w:pPr>
      <w:r>
        <w:rPr>
          <w:rFonts w:eastAsia="等线" w:ascii="Arial" w:cs="Arial" w:hAnsi="Arial"/>
          <w:sz w:val="22"/>
        </w:rPr>
        <w:t>这一目标基于以下观察：目前很多机器的利用率不高，峰值利用率也不高。以主混布队列中的资源利用率为例，多数集群的平均内存利用率在30%~</w:t>
      </w:r>
      <w:r>
        <w:rPr>
          <w:rFonts w:eastAsia="等线" w:ascii="Arial" w:cs="Arial" w:hAnsi="Arial"/>
          <w:sz w:val="22"/>
        </w:rPr>
        <w:t>70%之间，平均CPU利用率在5%~</w:t>
      </w:r>
      <w:r>
        <w:rPr>
          <w:rFonts w:eastAsia="等线" w:ascii="Arial" w:cs="Arial" w:hAnsi="Arial"/>
          <w:sz w:val="22"/>
        </w:rPr>
        <w:t>30%之间。同时，集群分配的资源到利用率的转换比较低，例如，某集群的CPU分配率达到99%，但CPU资源的利用率却只有47%（峰值）。</w:t>
      </w:r>
    </w:p>
    <w:p>
      <w:pPr>
        <w:spacing w:before="120" w:after="120" w:line="288" w:lineRule="auto"/>
        <w:ind w:left="0"/>
        <w:jc w:val="left"/>
      </w:pPr>
      <w:r>
        <w:rPr>
          <w:rFonts w:eastAsia="等线" w:ascii="Arial" w:cs="Arial" w:hAnsi="Arial"/>
          <w:sz w:val="22"/>
        </w:rPr>
        <w:t>资源超售的核心思想是将尚未使用、因为虚假申请出去的quota进行回收，二次售卖，从而提高资源利用率。</w:t>
      </w:r>
    </w:p>
    <w:p>
      <w:pPr>
        <w:pStyle w:val="4"/>
        <w:spacing w:before="260" w:after="120" w:line="288" w:lineRule="auto"/>
        <w:ind w:left="0"/>
        <w:jc w:val="left"/>
        <w:outlineLvl w:val="3"/>
      </w:pPr>
      <w:bookmarkStart w:name="heading_16" w:id="16"/>
      <w:r>
        <w:rPr>
          <w:rFonts w:eastAsia="等线" w:ascii="Arial" w:cs="Arial" w:hAnsi="Arial"/>
          <w:b w:val="true"/>
          <w:sz w:val="28"/>
        </w:rPr>
        <w:t>3.2.2 资源回收模型</w:t>
      </w:r>
      <w:bookmarkEnd w:id="16"/>
    </w:p>
    <w:p>
      <w:pPr>
        <w:spacing w:before="120" w:after="120" w:line="288" w:lineRule="auto"/>
        <w:ind w:left="0"/>
        <w:jc w:val="left"/>
      </w:pPr>
      <w:r>
        <w:rPr>
          <w:rFonts w:eastAsia="等线" w:ascii="Arial" w:cs="Arial" w:hAnsi="Arial"/>
          <w:sz w:val="22"/>
        </w:rPr>
        <w:t>在线超发的思路是通过回收在线服务未使用的资源。这些资源是用户申请多于实际使用的quota，有90%以上的概率不会被使用。资源回收模型的设计经历了以下几个阶段：</w:t>
      </w:r>
    </w:p>
    <w:p>
      <w:pPr>
        <w:numPr>
          <w:numId w:val="19"/>
        </w:numPr>
        <w:spacing w:before="120" w:after="120" w:line="288" w:lineRule="auto"/>
        <w:ind w:left="0"/>
        <w:jc w:val="left"/>
      </w:pPr>
      <w:r>
        <w:rPr>
          <w:rFonts w:eastAsia="等线" w:ascii="Arial" w:cs="Arial" w:hAnsi="Arial"/>
          <w:b w:val="true"/>
          <w:sz w:val="22"/>
        </w:rPr>
        <w:t>理想回收资源公式</w:t>
      </w:r>
      <w:r>
        <w:rPr>
          <w:rFonts w:eastAsia="等线" w:ascii="Arial" w:cs="Arial" w:hAnsi="Arial"/>
          <w:sz w:val="22"/>
        </w:rPr>
        <w:t>：</w:t>
      </w:r>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Reclai</m:t>
        </m:r>
        <m:sSub>
          <m:e>
            <m:r>
              <w:rPr>
                <w:rFonts w:ascii="Cambria Math" w:hAnsi="Cambria Math"/>
              </w:rPr>
              <m:t>m</m:t>
            </m:r>
          </m:e>
          <m:sub>
            <m:r>
              <w:rPr>
                <w:rFonts w:ascii="Cambria Math" w:hAnsi="Cambria Math"/>
              </w:rPr>
              <m:t>stable</m:t>
            </m:r>
          </m:sub>
        </m:sSub>
        <m:r>
          <w:rPr>
            <w:rFonts w:ascii="Cambria Math" w:hAnsi="Cambria Math"/>
          </w:rPr>
          <m:t>=</m:t>
        </m:r>
        <m:nary>
          <m:naryPr>
            <m:chr m:val="∑"/>
            <m:limLoc m:val="subSup"/>
            <m:grow m:val="1"/>
            <m:subHide m:val="off"/>
            <m:supHide m:val="on"/>
          </m:naryPr>
          <m:sub>
            <m:r>
              <w:rPr>
                <w:rFonts w:ascii="Cambria Math" w:hAnsi="Cambria Math"/>
              </w:rPr>
              <m:t>c∈Containe</m:t>
            </m:r>
            <m:sSub>
              <m:e>
                <m:r>
                  <w:rPr>
                    <w:rFonts w:ascii="Cambria Math" w:hAnsi="Cambria Math"/>
                  </w:rPr>
                  <m:t>r</m:t>
                </m:r>
              </m:e>
              <m:sub>
                <m:r>
                  <w:rPr>
                    <w:rFonts w:ascii="Cambria Math" w:hAnsi="Cambria Math"/>
                  </w:rPr>
                  <m:t>stable</m:t>
                </m:r>
              </m:sub>
            </m:sSub>
          </m:sub>
          <m:sup/>
          <m:e/>
        </m:nary>
        <m:d>
          <m:dPr>
            <m:sepChr m:val=","/>
          </m:dPr>
          <m:e>
            <m:sSub>
              <m:e>
                <m:r>
                  <w:rPr>
                    <w:rFonts w:ascii="Cambria Math" w:hAnsi="Cambria Math"/>
                  </w:rPr>
                  <m:t>Q</m:t>
                </m:r>
              </m:e>
              <m:sub>
                <m:r>
                  <w:rPr>
                    <w:rFonts w:ascii="Cambria Math" w:hAnsi="Cambria Math"/>
                  </w:rPr>
                  <m:t>c</m:t>
                </m:r>
              </m:sub>
            </m:sSub>
            <m:r>
              <w:rPr>
                <w:rFonts w:ascii="Cambria Math" w:hAnsi="Cambria Math"/>
              </w:rPr>
              <m:t>-</m:t>
            </m:r>
            <m:sSub>
              <m:e>
                <m:r>
                  <w:rPr>
                    <w:rFonts w:ascii="Cambria Math" w:hAnsi="Cambria Math"/>
                  </w:rPr>
                  <m:t>U</m:t>
                </m:r>
              </m:e>
              <m:sub>
                <m:r>
                  <w:rPr>
                    <w:rFonts w:ascii="Cambria Math" w:hAnsi="Cambria Math"/>
                  </w:rPr>
                  <m:t>c</m:t>
                </m:r>
              </m:sub>
            </m:sSub>
          </m:e>
        </m:d>
      </m:oMath>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 xmlns:mml="http://www.w3.org/1998/Math/MathML">
        <m:sSub>
          <m:e>
            <m:r>
              <w:rPr>
                <w:rFonts w:ascii="Cambria Math" w:hAnsi="Cambria Math"/>
              </w:rPr>
              <m:t>Q</m:t>
            </m:r>
          </m:e>
          <m:sub>
            <m:r>
              <w:rPr>
                <w:rFonts w:ascii="Cambria Math" w:hAnsi="Cambria Math"/>
              </w:rPr>
              <m:t>c</m:t>
            </m:r>
          </m:sub>
        </m:sSub>
      </m:oMath>
      <w:r>
        <w:rPr>
          <w:rFonts w:eastAsia="等线" w:ascii="Arial" w:cs="Arial" w:hAnsi="Arial"/>
          <w:sz w:val="22"/>
        </w:rPr>
        <w:t>为每个容器申请的quota，</w:t>
      </w:r>
      <w:r>
        <w:rPr>
          <w:rFonts w:eastAsia="等线" w:ascii="Arial" w:cs="Arial" w:hAnsi="Arial"/>
          <w:sz w:val="22"/>
        </w:rPr>
      </w:r>
      <m:oMath xmlns:mml="http://www.w3.org/1998/Math/MathML">
        <m:sSub>
          <m:e>
            <m:r>
              <w:rPr>
                <w:rFonts w:ascii="Cambria Math" w:hAnsi="Cambria Math"/>
              </w:rPr>
              <m:t>U</m:t>
            </m:r>
          </m:e>
          <m:sub>
            <m:r>
              <w:rPr>
                <w:rFonts w:ascii="Cambria Math" w:hAnsi="Cambria Math"/>
              </w:rPr>
              <m:t>c</m:t>
            </m:r>
          </m:sub>
        </m:sSub>
      </m:oMath>
      <w:r>
        <w:rPr>
          <w:rFonts w:eastAsia="等线" w:ascii="Arial" w:cs="Arial" w:hAnsi="Arial"/>
          <w:sz w:val="22"/>
        </w:rPr>
        <w:t>为每个容器实际使用的值。</w:t>
      </w:r>
    </w:p>
    <w:p>
      <w:pPr>
        <w:numPr>
          <w:numId w:val="20"/>
        </w:numPr>
        <w:spacing w:before="120" w:after="120" w:line="288" w:lineRule="auto"/>
        <w:ind w:left="0"/>
        <w:jc w:val="left"/>
      </w:pPr>
      <w:r>
        <w:rPr>
          <w:rFonts w:eastAsia="等线" w:ascii="Arial" w:cs="Arial" w:hAnsi="Arial"/>
          <w:b w:val="true"/>
          <w:sz w:val="22"/>
        </w:rPr>
        <w:t>基于峰值利用率的修正</w:t>
      </w:r>
      <w:r>
        <w:rPr>
          <w:rFonts w:eastAsia="等线" w:ascii="Arial" w:cs="Arial" w:hAnsi="Arial"/>
          <w:sz w:val="22"/>
        </w:rPr>
        <w:t>：由于容器实际使用是波动的，需要回收那些stable容器永远不会使用到的资源。通过容器峰值利用率计算：</w:t>
      </w:r>
    </w:p>
    <w:p>
      <w:pPr>
        <w:spacing w:before="120" w:after="120" w:line="288" w:lineRule="auto"/>
        <w:ind w:left="0"/>
        <w:jc w:val="left"/>
      </w:pPr>
      <w:r>
        <w:rPr>
          <w:rFonts w:eastAsia="等线" w:ascii="Arial" w:cs="Arial" w:hAnsi="Arial"/>
          <w:sz w:val="22"/>
        </w:rPr>
      </w:r>
      <m:oMath>
        <m:r>
          <w:rPr>
            <w:rFonts w:ascii="Cambria Math" w:hAnsi="Cambria Math"/>
          </w:rPr>
          <w:t>
Peak_c = \text{Max}(U_c)
</w:t>
        </m:r>
      </m:oMath>
    </w:p>
    <w:p>
      <w:pPr>
        <w:spacing w:before="120" w:after="120" w:line="288" w:lineRule="auto"/>
        <w:ind w:left="0"/>
        <w:jc w:val="left"/>
      </w:pPr>
      <w:r>
        <w:rPr>
          <w:rFonts w:eastAsia="等线" w:ascii="Arial" w:cs="Arial" w:hAnsi="Arial"/>
          <w:sz w:val="22"/>
        </w:rPr>
      </w:r>
      <m:oMath>
        <m:r>
          <w:rPr>
            <w:rFonts w:ascii="Cambria Math" w:hAnsi="Cambria Math"/>
          </w:rPr>
          <w:t>
Reclaim_{stable} = \sum_{c \in Container_{stable}} (Q_c - Peak_c), \text{ where } Peak_c = \text{Max}(U_c)
</w:t>
        </m:r>
      </m:oMath>
    </w:p>
    <w:p>
      <w:pPr>
        <w:numPr>
          <w:numId w:val="21"/>
        </w:numPr>
        <w:spacing w:before="120" w:after="120" w:line="288" w:lineRule="auto"/>
        <w:ind w:left="0"/>
        <w:jc w:val="left"/>
      </w:pPr>
      <w:r>
        <w:rPr>
          <w:rFonts w:eastAsia="等线" w:ascii="Arial" w:cs="Arial" w:hAnsi="Arial"/>
          <w:b w:val="true"/>
          <w:sz w:val="22"/>
        </w:rPr>
        <w:t>引入回收比例系数</w:t>
      </w:r>
      <w:r>
        <w:rPr>
          <w:rFonts w:eastAsia="等线" w:ascii="Arial" w:cs="Arial" w:hAnsi="Arial"/>
          <w:sz w:val="22"/>
        </w:rPr>
        <w:t>：为保证稳定性，引入回收比例系数δ：</w:t>
      </w:r>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Reclai</m:t>
        </m:r>
        <m:sSub>
          <m:e>
            <m:r>
              <w:rPr>
                <w:rFonts w:ascii="Cambria Math" w:hAnsi="Cambria Math"/>
              </w:rPr>
              <m:t>m</m:t>
            </m:r>
          </m:e>
          <m:sub>
            <m:r>
              <w:rPr>
                <w:rFonts w:ascii="Cambria Math" w:hAnsi="Cambria Math"/>
              </w:rPr>
              <m:t>stable</m:t>
            </m:r>
          </m:sub>
        </m:sSub>
        <m:r>
          <w:rPr>
            <w:rFonts w:ascii="Cambria Math" w:hAnsi="Cambria Math"/>
          </w:rPr>
          <m:t>=∑</m:t>
        </m:r>
        <m:d>
          <m:dPr>
            <m:sepChr m:val=","/>
          </m:dPr>
          <m:e>
            <m:r>
              <w:rPr>
                <w:rFonts w:ascii="Cambria Math" w:hAnsi="Cambria Math"/>
              </w:rPr>
              <m:t>δ</m:t>
            </m:r>
            <m:sSub>
              <m:e>
                <m:r>
                  <w:rPr>
                    <w:rFonts w:ascii="Cambria Math" w:hAnsi="Cambria Math"/>
                  </w:rPr>
                  <m:t>Q</m:t>
                </m:r>
              </m:e>
              <m:sub>
                <m:r>
                  <w:rPr>
                    <w:rFonts w:ascii="Cambria Math" w:hAnsi="Cambria Math"/>
                  </w:rPr>
                  <m:t>c</m:t>
                </m:r>
              </m:sub>
            </m:sSub>
            <m:r>
              <w:rPr>
                <w:rFonts w:ascii="Cambria Math" w:hAnsi="Cambria Math"/>
              </w:rPr>
              <m:t>-Pea</m:t>
            </m:r>
            <m:sSub>
              <m:e>
                <m:r>
                  <w:rPr>
                    <w:rFonts w:ascii="Cambria Math" w:hAnsi="Cambria Math"/>
                  </w:rPr>
                  <m:t>k</m:t>
                </m:r>
              </m:e>
              <m:sub>
                <m:r>
                  <w:rPr>
                    <w:rFonts w:ascii="Cambria Math" w:hAnsi="Cambria Math"/>
                  </w:rPr>
                  <m:t>c</m:t>
                </m:r>
              </m:sub>
            </m:sSub>
          </m:e>
        </m:d>
      </m:oMath>
    </w:p>
    <w:p>
      <w:pPr>
        <w:numPr>
          <w:numId w:val="22"/>
        </w:numPr>
        <w:spacing w:before="120" w:after="120" w:line="288" w:lineRule="auto"/>
        <w:ind w:left="0"/>
        <w:jc w:val="left"/>
      </w:pPr>
      <w:r>
        <w:rPr>
          <w:rFonts w:eastAsia="等线" w:ascii="Arial" w:cs="Arial" w:hAnsi="Arial"/>
          <w:b w:val="true"/>
          <w:sz w:val="22"/>
        </w:rPr>
        <w:t>静态比例模型</w:t>
      </w:r>
      <w:r>
        <w:rPr>
          <w:rFonts w:eastAsia="等线" w:ascii="Arial" w:cs="Arial" w:hAnsi="Arial"/>
          <w:sz w:val="22"/>
        </w:rPr>
        <w:t>：简化后，可以通过静态比例β进行回收：</w:t>
      </w:r>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Reclai</m:t>
        </m:r>
        <m:sSub>
          <m:e>
            <m:r>
              <w:rPr>
                <w:rFonts w:ascii="Cambria Math" w:hAnsi="Cambria Math"/>
              </w:rPr>
              <m:t>m</m:t>
            </m:r>
          </m:e>
          <m:sub>
            <m:r>
              <w:rPr>
                <w:rFonts w:ascii="Cambria Math" w:hAnsi="Cambria Math"/>
              </w:rPr>
              <m:t>stable</m:t>
            </m:r>
          </m:sub>
        </m:sSub>
        <m:r>
          <w:rPr>
            <w:rFonts w:ascii="Cambria Math" w:hAnsi="Cambria Math"/>
          </w:rPr>
          <m:t>=β</m:t>
        </m:r>
        <m:nary>
          <m:naryPr>
            <m:chr m:val="∑"/>
            <m:limLoc m:val="subSup"/>
            <m:grow m:val="1"/>
            <m:subHide m:val="off"/>
            <m:supHide m:val="on"/>
          </m:naryPr>
          <m:sub>
            <m:r>
              <w:rPr>
                <w:rFonts w:ascii="Cambria Math" w:hAnsi="Cambria Math"/>
              </w:rPr>
              <m:t>c∈Containe</m:t>
            </m:r>
            <m:sSub>
              <m:e>
                <m:r>
                  <w:rPr>
                    <w:rFonts w:ascii="Cambria Math" w:hAnsi="Cambria Math"/>
                  </w:rPr>
                  <m:t>r</m:t>
                </m:r>
              </m:e>
              <m:sub>
                <m:r>
                  <w:rPr>
                    <w:rFonts w:ascii="Cambria Math" w:hAnsi="Cambria Math"/>
                  </w:rPr>
                  <m:t>stable</m:t>
                </m:r>
              </m:sub>
            </m:sSub>
          </m:sub>
          <m:sup/>
          <m:e/>
        </m:nary>
        <m:sSub>
          <m:e>
            <m:r>
              <w:rPr>
                <w:rFonts w:ascii="Cambria Math" w:hAnsi="Cambria Math"/>
              </w:rPr>
              <m:t>Q</m:t>
            </m:r>
          </m:e>
          <m:sub>
            <m:r>
              <w:rPr>
                <w:rFonts w:ascii="Cambria Math" w:hAnsi="Cambria Math"/>
              </w:rPr>
              <m:t>c</m:t>
            </m:r>
          </m:sub>
        </m:sSub>
      </m:oMath>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Reclai</m:t>
        </m:r>
        <m:sSub>
          <m:e>
            <m:r>
              <w:rPr>
                <w:rFonts w:ascii="Cambria Math" w:hAnsi="Cambria Math"/>
              </w:rPr>
              <m:t>m</m:t>
            </m:r>
          </m:e>
          <m:sub>
            <m:r>
              <w:rPr>
                <w:rFonts w:ascii="Cambria Math" w:hAnsi="Cambria Math"/>
              </w:rPr>
              <m:t>stable</m:t>
            </m:r>
          </m:sub>
        </m:sSub>
        <m:r>
          <w:rPr>
            <w:rFonts w:ascii="Cambria Math" w:hAnsi="Cambria Math"/>
          </w:rPr>
          <m:t>=β⋅Tota</m:t>
        </m:r>
        <m:sSub>
          <m:e>
            <m:r>
              <w:rPr>
                <w:rFonts w:ascii="Cambria Math" w:hAnsi="Cambria Math"/>
              </w:rPr>
              <m:t>l</m:t>
            </m:r>
          </m:e>
          <m:sub>
            <m:r>
              <w:rPr>
                <w:rFonts w:ascii="Cambria Math" w:hAnsi="Cambria Math"/>
              </w:rPr>
              <m:t>host</m:t>
            </m:r>
          </m:sub>
        </m:sSub>
      </m:oMath>
    </w:p>
    <w:p>
      <w:pPr>
        <w:numPr>
          <w:numId w:val="23"/>
        </w:numPr>
        <w:spacing w:before="120" w:after="120" w:line="288" w:lineRule="auto"/>
        <w:ind w:left="0"/>
        <w:jc w:val="left"/>
      </w:pPr>
      <w:r>
        <w:rPr>
          <w:rFonts w:eastAsia="等线" w:ascii="Arial" w:cs="Arial" w:hAnsi="Arial"/>
          <w:b w:val="true"/>
          <w:sz w:val="22"/>
        </w:rPr>
        <w:t>最终模型</w:t>
      </w:r>
      <w:r>
        <w:rPr>
          <w:rFonts w:eastAsia="等线" w:ascii="Arial" w:cs="Arial" w:hAnsi="Arial"/>
          <w:sz w:val="22"/>
        </w:rPr>
        <w:t>：考虑到资源预留，stable看到的总资源视图为：</w:t>
      </w:r>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Tota</m:t>
        </m:r>
        <m:sSub>
          <m:e>
            <m:r>
              <w:rPr>
                <w:rFonts w:ascii="Cambria Math" w:hAnsi="Cambria Math"/>
              </w:rPr>
              <m:t>l</m:t>
            </m:r>
          </m:e>
          <m:sub>
            <m:r>
              <w:rPr>
                <w:rFonts w:ascii="Cambria Math" w:hAnsi="Cambria Math"/>
              </w:rPr>
              <m:t>stable</m:t>
            </m:r>
          </m:sub>
        </m:sSub>
        <m:r>
          <w:rPr>
            <w:rFonts w:ascii="Cambria Math" w:hAnsi="Cambria Math"/>
          </w:rPr>
          <m:t>=</m:t>
        </m:r>
        <m:d>
          <m:dPr>
            <m:sepChr m:val=","/>
          </m:dPr>
          <m:e>
            <m:r>
              <w:rPr>
                <w:rFonts w:ascii="Cambria Math" w:hAnsi="Cambria Math"/>
              </w:rPr>
              <m:t>1+β</m:t>
            </m:r>
          </m:e>
        </m:d>
        <m:d>
          <m:dPr>
            <m:sepChr m:val=","/>
          </m:dPr>
          <m:e>
            <m:r>
              <w:rPr>
                <w:rFonts w:ascii="Cambria Math" w:hAnsi="Cambria Math"/>
              </w:rPr>
              <m:t>Tota</m:t>
            </m:r>
            <m:sSub>
              <m:e>
                <m:r>
                  <w:rPr>
                    <w:rFonts w:ascii="Cambria Math" w:hAnsi="Cambria Math"/>
                  </w:rPr>
                  <m:t>l</m:t>
                </m:r>
              </m:e>
              <m:sub>
                <m:r>
                  <w:rPr>
                    <w:rFonts w:ascii="Cambria Math" w:hAnsi="Cambria Math"/>
                  </w:rPr>
                  <m:t>host</m:t>
                </m:r>
              </m:sub>
            </m:sSub>
            <m:r>
              <w:rPr>
                <w:rFonts w:ascii="Cambria Math" w:hAnsi="Cambria Math"/>
              </w:rPr>
              <m:t>-Reserved</m:t>
            </m:r>
          </m:e>
        </m:d>
      </m:oMath>
    </w:p>
    <w:p>
      <w:pPr>
        <w:spacing w:before="120" w:after="120" w:line="288" w:lineRule="auto"/>
        <w:ind w:left="0"/>
        <w:jc w:val="left"/>
      </w:pPr>
      <w:r>
        <w:rPr>
          <w:rFonts w:eastAsia="等线" w:ascii="Arial" w:cs="Arial" w:hAnsi="Arial"/>
          <w:sz w:val="22"/>
        </w:rPr>
        <w:t>静态比例模型虽然简化了计算，但保留了资源超售的核心思想，即回收未使用资源进行二次分配。通过调整β值，可以控制超售比例，平衡资源利用率和系统稳定性。</w:t>
      </w:r>
    </w:p>
    <w:p>
      <w:pPr>
        <w:pStyle w:val="4"/>
        <w:spacing w:before="260" w:after="120" w:line="288" w:lineRule="auto"/>
        <w:ind w:left="0"/>
        <w:jc w:val="left"/>
        <w:outlineLvl w:val="3"/>
      </w:pPr>
      <w:bookmarkStart w:name="heading_17" w:id="17"/>
      <w:r>
        <w:rPr>
          <w:rFonts w:eastAsia="等线" w:ascii="Arial" w:cs="Arial" w:hAnsi="Arial"/>
          <w:b w:val="true"/>
          <w:sz w:val="28"/>
        </w:rPr>
        <w:t>3.2.3 超发调度机制</w:t>
      </w:r>
      <w:bookmarkEnd w:id="17"/>
    </w:p>
    <w:p>
      <w:pPr>
        <w:spacing w:before="120" w:after="120" w:line="288" w:lineRule="auto"/>
        <w:ind w:left="0"/>
        <w:jc w:val="left"/>
      </w:pPr>
      <w:r>
        <w:rPr>
          <w:rFonts w:eastAsia="等线" w:ascii="Arial" w:cs="Arial" w:hAnsi="Arial"/>
          <w:sz w:val="22"/>
        </w:rPr>
        <w:t>资源调度过程中，stable的资源视图会增加。</w:t>
      </w:r>
      <w:r>
        <w:rPr>
          <w:rFonts w:eastAsia="等线" w:ascii="Arial" w:cs="Arial" w:hAnsi="Arial"/>
          <w:sz w:val="22"/>
        </w:rPr>
        <w:t>容器服务特征值管理服务</w:t>
      </w:r>
      <w:r>
        <w:rPr>
          <w:rFonts w:eastAsia="等线" w:ascii="Arial" w:cs="Arial" w:hAnsi="Arial"/>
          <w:sz w:val="22"/>
        </w:rPr>
        <w:t>将资源视图同步给调度器，调度器通过读取pool配置，获取是否需要采用</w:t>
      </w:r>
      <w:r>
        <w:rPr>
          <w:rFonts w:eastAsia="等线" w:ascii="Arial" w:cs="Arial" w:hAnsi="Arial"/>
          <w:sz w:val="22"/>
        </w:rPr>
        <w:t>容器服务特征值管理服务</w:t>
      </w:r>
      <w:r>
        <w:rPr>
          <w:rFonts w:eastAsia="等线" w:ascii="Arial" w:cs="Arial" w:hAnsi="Arial"/>
          <w:sz w:val="22"/>
        </w:rPr>
        <w:t>同步的动态stable视图。超发调度机制需要考虑以下几个方面：</w:t>
      </w:r>
    </w:p>
    <w:p>
      <w:pPr>
        <w:numPr>
          <w:numId w:val="24"/>
        </w:numPr>
        <w:spacing w:before="120" w:after="120" w:line="288" w:lineRule="auto"/>
        <w:ind w:left="0"/>
        <w:jc w:val="left"/>
      </w:pPr>
      <w:r>
        <w:rPr>
          <w:rFonts w:eastAsia="等线" w:ascii="Arial" w:cs="Arial" w:hAnsi="Arial"/>
          <w:b w:val="true"/>
          <w:sz w:val="22"/>
        </w:rPr>
        <w:t>资源视图更新</w:t>
      </w:r>
      <w:r>
        <w:rPr>
          <w:rFonts w:eastAsia="等线" w:ascii="Arial" w:cs="Arial" w:hAnsi="Arial"/>
          <w:sz w:val="22"/>
        </w:rPr>
        <w:t>：当超发资源发生变化时，需要保证某个资源维度不发生变大情况下，其他资源维度能够更新。</w:t>
      </w:r>
    </w:p>
    <w:p>
      <w:pPr>
        <w:numPr>
          <w:numId w:val="25"/>
        </w:numPr>
        <w:spacing w:before="120" w:after="120" w:line="288" w:lineRule="auto"/>
        <w:ind w:left="0"/>
        <w:jc w:val="left"/>
      </w:pPr>
      <w:r>
        <w:rPr>
          <w:rFonts w:eastAsia="等线" w:ascii="Arial" w:cs="Arial" w:hAnsi="Arial"/>
          <w:b w:val="true"/>
          <w:sz w:val="22"/>
        </w:rPr>
        <w:t>系统重启兼容</w:t>
      </w:r>
      <w:r>
        <w:rPr>
          <w:rFonts w:eastAsia="等线" w:ascii="Arial" w:cs="Arial" w:hAnsi="Arial"/>
          <w:sz w:val="22"/>
        </w:rPr>
        <w:t>：</w:t>
      </w:r>
      <w:r>
        <w:rPr>
          <w:rFonts w:eastAsia="等线" w:ascii="Arial" w:cs="Arial" w:hAnsi="Arial"/>
          <w:sz w:val="22"/>
        </w:rPr>
        <w:t>Scheduler</w:t>
      </w:r>
      <w:r>
        <w:rPr>
          <w:rFonts w:eastAsia="等线" w:ascii="Arial" w:cs="Arial" w:hAnsi="Arial"/>
          <w:sz w:val="22"/>
        </w:rPr>
        <w:t>重启时，</w:t>
      </w:r>
      <w:r>
        <w:rPr>
          <w:rFonts w:eastAsia="等线" w:ascii="Arial" w:cs="Arial" w:hAnsi="Arial"/>
          <w:sz w:val="22"/>
        </w:rPr>
        <w:t>容器服务特征值管理服务</w:t>
      </w:r>
      <w:r>
        <w:rPr>
          <w:rFonts w:eastAsia="等线" w:ascii="Arial" w:cs="Arial" w:hAnsi="Arial"/>
          <w:sz w:val="22"/>
        </w:rPr>
        <w:t>尚未同步资源信息，需要采用心跳上报的资源（静态资源）进行分配和调度。</w:t>
      </w:r>
    </w:p>
    <w:p>
      <w:pPr>
        <w:numPr>
          <w:numId w:val="26"/>
        </w:numPr>
        <w:spacing w:before="120" w:after="120" w:line="288" w:lineRule="auto"/>
        <w:ind w:left="0"/>
        <w:jc w:val="left"/>
      </w:pPr>
      <w:r>
        <w:rPr>
          <w:rFonts w:eastAsia="等线" w:ascii="Arial" w:cs="Arial" w:hAnsi="Arial"/>
          <w:b w:val="true"/>
          <w:sz w:val="22"/>
        </w:rPr>
        <w:t>资源抢占</w:t>
      </w:r>
      <w:r>
        <w:rPr>
          <w:rFonts w:eastAsia="等线" w:ascii="Arial" w:cs="Arial" w:hAnsi="Arial"/>
          <w:sz w:val="22"/>
        </w:rPr>
        <w:t>：在动态stable资源视图模式下，只有disk、gpu、fpga、process、port等资源有冲突时才会发生抢占。</w:t>
      </w:r>
    </w:p>
    <w:p>
      <w:pPr>
        <w:spacing w:before="120" w:after="120" w:line="288" w:lineRule="auto"/>
        <w:ind w:left="0"/>
        <w:jc w:val="left"/>
      </w:pPr>
      <w:r>
        <w:rPr>
          <w:rFonts w:eastAsia="等线" w:ascii="Arial" w:cs="Arial" w:hAnsi="Arial"/>
          <w:sz w:val="22"/>
        </w:rPr>
        <w:t>超发调度机制的核心是通过动态调整stable资源视图，实现资源的二次分配，提高资源利用率。同时，通过合理的抢占策略，保障系统的稳定性和服务质量。</w:t>
      </w:r>
    </w:p>
    <w:p>
      <w:pPr>
        <w:spacing w:before="120" w:after="120" w:line="288" w:lineRule="auto"/>
        <w:ind w:left="0"/>
        <w:jc w:val="center"/>
      </w:pPr>
      <w:r>
        <w:drawing>
          <wp:inline distT="0" distR="0" distB="0" distL="0">
            <wp:extent cx="5257800" cy="3124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1242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图3：资源超售系统架构。系统由</w:t>
      </w:r>
      <w:r>
        <w:rPr>
          <w:rFonts w:eastAsia="等线" w:ascii="Arial" w:cs="Arial" w:hAnsi="Arial"/>
          <w:b w:val="true"/>
          <w:sz w:val="22"/>
        </w:rPr>
        <w:t>Schedulerler</w:t>
      </w:r>
      <w:r>
        <w:rPr>
          <w:rFonts w:eastAsia="等线" w:ascii="Arial" w:cs="Arial" w:hAnsi="Arial"/>
          <w:b w:val="true"/>
          <w:sz w:val="22"/>
        </w:rPr>
        <w:t>、Agents和</w:t>
      </w:r>
      <w:r>
        <w:rPr>
          <w:rFonts w:eastAsia="等线" w:ascii="Arial" w:cs="Arial" w:hAnsi="Arial"/>
          <w:b w:val="true"/>
          <w:sz w:val="22"/>
        </w:rPr>
        <w:t>容器服务特征值管理服务</w:t>
      </w:r>
      <w:r>
        <w:rPr>
          <w:rFonts w:eastAsia="等线" w:ascii="Arial" w:cs="Arial" w:hAnsi="Arial"/>
          <w:b w:val="true"/>
          <w:sz w:val="22"/>
        </w:rPr>
        <w:t>（包含超发计算、配置和数据采集模块）组成。</w:t>
      </w:r>
      <w:r>
        <w:rPr>
          <w:rFonts w:eastAsia="等线" w:ascii="Arial" w:cs="Arial" w:hAnsi="Arial"/>
          <w:b w:val="true"/>
          <w:sz w:val="22"/>
        </w:rPr>
        <w:t>容器服务特征值管理服务</w:t>
      </w:r>
      <w:r>
        <w:rPr>
          <w:rFonts w:eastAsia="等线" w:ascii="Arial" w:cs="Arial" w:hAnsi="Arial"/>
          <w:b w:val="true"/>
          <w:sz w:val="22"/>
        </w:rPr>
        <w:t>负责计算超发资源并将资源视图同步给</w:t>
      </w:r>
      <w:r>
        <w:rPr>
          <w:rFonts w:eastAsia="等线" w:ascii="Arial" w:cs="Arial" w:hAnsi="Arial"/>
          <w:b w:val="true"/>
          <w:sz w:val="22"/>
        </w:rPr>
        <w:t>Scheduler</w:t>
      </w:r>
      <w:r>
        <w:rPr>
          <w:rFonts w:eastAsia="等线" w:ascii="Arial" w:cs="Arial" w:hAnsi="Arial"/>
          <w:b w:val="true"/>
          <w:sz w:val="22"/>
        </w:rPr>
        <w:t>，</w:t>
      </w:r>
      <w:r>
        <w:rPr>
          <w:rFonts w:eastAsia="等线" w:ascii="Arial" w:cs="Arial" w:hAnsi="Arial"/>
          <w:b w:val="true"/>
          <w:sz w:val="22"/>
        </w:rPr>
        <w:t>Scheduler</w:t>
      </w:r>
      <w:r>
        <w:rPr>
          <w:rFonts w:eastAsia="等线" w:ascii="Arial" w:cs="Arial" w:hAnsi="Arial"/>
          <w:b w:val="true"/>
          <w:sz w:val="22"/>
        </w:rPr>
        <w:t>根据资源视图进行调度决策。</w:t>
      </w:r>
    </w:p>
    <w:p>
      <w:pPr>
        <w:pStyle w:val="4"/>
        <w:spacing w:before="260" w:after="120" w:line="288" w:lineRule="auto"/>
        <w:ind w:left="0"/>
        <w:jc w:val="left"/>
        <w:outlineLvl w:val="3"/>
      </w:pPr>
      <w:bookmarkStart w:name="heading_18" w:id="18"/>
      <w:r>
        <w:rPr>
          <w:rFonts w:eastAsia="等线" w:ascii="Arial" w:cs="Arial" w:hAnsi="Arial"/>
          <w:b w:val="true"/>
          <w:sz w:val="28"/>
        </w:rPr>
        <w:t>3.2.4 热点治理</w:t>
      </w:r>
      <w:bookmarkEnd w:id="18"/>
    </w:p>
    <w:p>
      <w:pPr>
        <w:spacing w:before="120" w:after="120" w:line="288" w:lineRule="auto"/>
        <w:ind w:left="0"/>
        <w:jc w:val="left"/>
      </w:pPr>
      <w:r>
        <w:rPr>
          <w:rFonts w:eastAsia="等线" w:ascii="Arial" w:cs="Arial" w:hAnsi="Arial"/>
          <w:sz w:val="22"/>
        </w:rPr>
        <w:t>随着超发比例的上升，集群内进入热点的机器数量会急剧增加。例如，0%超发时，CPU&gt;80%的机器占0.60%，Memory&gt;90%的机器占0.27%；10%超发时，CPU&gt;80%的机器占1.57%，Memory&gt;90%的机器占3.22%。因此，热点治理是资源超售中的关键问题。</w:t>
      </w:r>
    </w:p>
    <w:p>
      <w:pPr>
        <w:spacing w:before="120" w:after="120" w:line="288" w:lineRule="auto"/>
        <w:ind w:left="0"/>
        <w:jc w:val="left"/>
      </w:pPr>
      <w:r>
        <w:rPr>
          <w:rFonts w:eastAsia="等线" w:ascii="Arial" w:cs="Arial" w:hAnsi="Arial"/>
          <w:sz w:val="22"/>
        </w:rPr>
        <w:t>热点定义：</w:t>
      </w:r>
    </w:p>
    <w:p>
      <w:pPr>
        <w:numPr>
          <w:numId w:val="27"/>
        </w:numPr>
        <w:spacing w:before="120" w:after="120" w:line="288" w:lineRule="auto"/>
        <w:ind w:left="0"/>
        <w:jc w:val="left"/>
      </w:pPr>
      <w:r>
        <w:rPr>
          <w:rFonts w:eastAsia="等线" w:ascii="Arial" w:cs="Arial" w:hAnsi="Arial"/>
          <w:sz w:val="22"/>
        </w:rPr>
        <w:t>CPU热点：CPU idle小于40</w:t>
      </w:r>
    </w:p>
    <w:p>
      <w:pPr>
        <w:numPr>
          <w:numId w:val="28"/>
        </w:numPr>
        <w:spacing w:before="120" w:after="120" w:line="288" w:lineRule="auto"/>
        <w:ind w:left="0"/>
        <w:jc w:val="left"/>
      </w:pPr>
      <w:r>
        <w:rPr>
          <w:rFonts w:eastAsia="等线" w:ascii="Arial" w:cs="Arial" w:hAnsi="Arial"/>
          <w:sz w:val="22"/>
        </w:rPr>
        <w:t xml:space="preserve">Memory热点：memory rss free </w:t>
      </w:r>
      <w:r>
        <w:rPr>
          <w:rFonts w:eastAsia="等线" w:ascii="Arial" w:cs="Arial" w:hAnsi="Arial"/>
          <w:sz w:val="22"/>
        </w:rPr>
        <w:t>&lt; 90%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热点处理的两个阶段</w:t>
      </w:r>
    </w:p>
    <w:p>
      <w:pPr>
        <w:numPr>
          <w:numId w:val="29"/>
        </w:numPr>
        <w:spacing w:before="120" w:after="120" w:line="288" w:lineRule="auto"/>
        <w:ind w:left="0"/>
        <w:jc w:val="left"/>
      </w:pPr>
      <w:r>
        <w:rPr>
          <w:rFonts w:eastAsia="等线" w:ascii="Arial" w:cs="Arial" w:hAnsi="Arial"/>
          <w:b w:val="true"/>
          <w:sz w:val="22"/>
        </w:rPr>
        <w:t>事前处理</w:t>
      </w:r>
      <w:r>
        <w:rPr>
          <w:rFonts w:eastAsia="等线" w:ascii="Arial" w:cs="Arial" w:hAnsi="Arial"/>
          <w:sz w:val="22"/>
        </w:rPr>
        <w:t>：在调度时考虑热点问题，避免创建潜在热点</w:t>
      </w:r>
    </w:p>
    <w:p>
      <w:pPr>
        <w:numPr>
          <w:numId w:val="30"/>
        </w:numPr>
        <w:spacing w:before="120" w:after="120" w:line="288" w:lineRule="auto"/>
        <w:ind w:left="0"/>
        <w:jc w:val="left"/>
      </w:pPr>
      <w:r>
        <w:rPr>
          <w:rFonts w:eastAsia="等线" w:ascii="Arial" w:cs="Arial" w:hAnsi="Arial"/>
          <w:b w:val="true"/>
          <w:sz w:val="22"/>
        </w:rPr>
        <w:t>事后处理</w:t>
      </w:r>
      <w:r>
        <w:rPr>
          <w:rFonts w:eastAsia="等线" w:ascii="Arial" w:cs="Arial" w:hAnsi="Arial"/>
          <w:sz w:val="22"/>
        </w:rPr>
        <w:t>：对已发生的热点进行快速有效的处理</w:t>
      </w:r>
    </w:p>
    <w:p>
      <w:pPr>
        <w:spacing w:before="120" w:after="120" w:line="288" w:lineRule="auto"/>
        <w:ind w:left="0"/>
        <w:jc w:val="left"/>
      </w:pPr>
      <w:r>
        <w:rPr>
          <w:rFonts w:eastAsia="等线" w:ascii="Arial" w:cs="Arial" w:hAnsi="Arial"/>
          <w:sz w:val="22"/>
        </w:rPr>
        <w:t>两种方式相辅相成，共同保障系统稳定性</w:t>
      </w:r>
    </w:p>
    <w:p>
      <w:pPr>
        <w:numPr>
          <w:numId w:val="31"/>
        </w:numPr>
        <w:spacing w:before="120" w:after="120" w:line="288" w:lineRule="auto"/>
        <w:ind w:left="0"/>
        <w:jc w:val="left"/>
      </w:pPr>
      <w:r>
        <w:rPr>
          <w:rFonts w:eastAsia="等线" w:ascii="Arial" w:cs="Arial" w:hAnsi="Arial"/>
          <w:b w:val="true"/>
          <w:sz w:val="22"/>
        </w:rPr>
        <w:t>事前处理</w:t>
      </w:r>
      <w:r>
        <w:rPr>
          <w:rFonts w:eastAsia="等线" w:ascii="Arial" w:cs="Arial" w:hAnsi="Arial"/>
          <w:sz w:val="22"/>
        </w:rPr>
        <w:t>：支持针对热点的调度，在调度时考虑热点问题。热点负载调度考虑以下因素：</w:t>
      </w:r>
    </w:p>
    <w:p>
      <w:pPr>
        <w:numPr>
          <w:numId w:val="32"/>
        </w:numPr>
        <w:spacing w:before="120" w:after="120" w:line="288" w:lineRule="auto"/>
        <w:ind w:left="453"/>
        <w:jc w:val="left"/>
      </w:pPr>
      <w:r>
        <w:rPr>
          <w:rFonts w:eastAsia="等线" w:ascii="Arial" w:cs="Arial" w:hAnsi="Arial"/>
          <w:sz w:val="22"/>
        </w:rPr>
        <w:t>出现热点的概率p</w:t>
      </w:r>
    </w:p>
    <w:p>
      <w:pPr>
        <w:numPr>
          <w:numId w:val="33"/>
        </w:numPr>
        <w:spacing w:before="120" w:after="120" w:line="288" w:lineRule="auto"/>
        <w:ind w:left="453"/>
        <w:jc w:val="left"/>
      </w:pPr>
      <w:r>
        <w:rPr>
          <w:rFonts w:eastAsia="等线" w:ascii="Arial" w:cs="Arial" w:hAnsi="Arial"/>
          <w:sz w:val="22"/>
        </w:rPr>
        <w:t>下一次出现热点时间t</w:t>
      </w:r>
    </w:p>
    <w:p>
      <w:pPr>
        <w:numPr>
          <w:numId w:val="34"/>
        </w:numPr>
        <w:spacing w:before="120" w:after="120" w:line="288" w:lineRule="auto"/>
        <w:ind w:left="453"/>
        <w:jc w:val="left"/>
      </w:pPr>
      <w:r>
        <w:rPr>
          <w:rFonts w:eastAsia="等线" w:ascii="Arial" w:cs="Arial" w:hAnsi="Arial"/>
          <w:sz w:val="22"/>
        </w:rPr>
        <w:t>出现热点的时长Δt</w:t>
      </w:r>
    </w:p>
    <w:p>
      <w:pPr>
        <w:spacing w:before="120" w:after="120" w:line="288" w:lineRule="auto"/>
        <w:ind w:left="453"/>
        <w:jc w:val="left"/>
      </w:pPr>
      <w:r>
        <w:rPr>
          <w:rFonts w:eastAsia="等线" w:ascii="Arial" w:cs="Arial" w:hAnsi="Arial"/>
          <w:sz w:val="22"/>
        </w:rPr>
        <w:t>简化后，主要考虑24小时内出现热点的概率，通过服务画像预估容器在24h内的Used分布。热点负载调度相关公式：</w:t>
      </w:r>
    </w:p>
    <w:p>
      <w:pPr>
        <w:spacing w:before="120" w:after="120" w:line="288" w:lineRule="auto"/>
        <w:ind w:left="453"/>
        <w:jc w:val="center"/>
      </w:pPr>
      <w:r>
        <w:rPr>
          <w:rFonts w:eastAsia="等线" w:ascii="Arial" w:cs="Arial" w:hAnsi="Arial"/>
          <w:sz w:val="22"/>
        </w:rPr>
      </w:r>
      <m:oMath xmlns:mml="http://www.w3.org/1998/Math/MathML">
        <m:r>
          <w:rPr>
            <w:rFonts w:ascii="Cambria Math" w:hAnsi="Cambria Math"/>
          </w:rPr>
          <m:t>p=</m:t>
        </m:r>
        <m:sSub>
          <m:e>
            <m:r>
              <w:rPr>
                <w:rFonts w:ascii="Cambria Math" w:hAnsi="Cambria Math"/>
              </w:rPr>
              <m:t>U</m:t>
            </m:r>
          </m:e>
          <m:sub>
            <m:r>
              <w:rPr>
                <w:rFonts w:ascii="Cambria Math" w:hAnsi="Cambria Math"/>
              </w:rPr>
              <m:t>host</m:t>
            </m:r>
          </m:sub>
        </m:sSub>
        <m:d>
          <m:dPr>
            <m:sepChr m:val=","/>
            <m:endChr m:val="⟩"/>
          </m:dPr>
          <m:e>
            <m:r>
              <w:rPr>
                <w:rFonts w:ascii="Cambria Math" w:hAnsi="Cambria Math"/>
              </w:rPr>
              <m:t>X</m:t>
            </m:r>
          </m:e>
        </m:d>
        <m:r>
          <w:rPr>
            <w:rFonts w:ascii="Cambria Math" w:hAnsi="Cambria Math"/>
          </w:rPr>
          <m:t>0.6|t=</m:t>
        </m:r>
        <m:sSub>
          <m:e>
            <m:r>
              <w:rPr>
                <w:rFonts w:ascii="Cambria Math" w:hAnsi="Cambria Math"/>
              </w:rPr>
              <m:t>T</m:t>
            </m:r>
          </m:e>
          <m:sub>
            <m:r>
              <w:rPr>
                <w:rFonts w:ascii="Cambria Math" w:hAnsi="Cambria Math"/>
              </w:rPr>
              <m:t>0</m:t>
            </m:r>
          </m:sub>
        </m:sSub>
        <m:r>
          <w:rPr>
            <w:rFonts w:ascii="Cambria Math" w:hAnsi="Cambria Math"/>
          </w:rPr>
          <m:t>)</m:t>
        </m:r>
        <m:r>
          <w:rPr>
            <w:rFonts w:ascii="Cambria Math" w:hAnsi="Cambria Math"/>
          </w:rPr>
          <m:t>=</m:t>
        </m:r>
        <m:nary>
          <m:naryPr>
            <m:chr m:val="∑"/>
            <m:limLoc m:val="subSup"/>
            <m:grow m:val="1"/>
            <m:subHide m:val="off"/>
            <m:supHide m:val="on"/>
          </m:naryPr>
          <m:sub>
            <m:r>
              <w:rPr>
                <w:rFonts w:ascii="Cambria Math" w:hAnsi="Cambria Math"/>
              </w:rPr>
              <m:t>c∈Host</m:t>
            </m:r>
          </m:sub>
          <m:sup/>
          <m:e/>
        </m:nary>
        <m:f>
          <m:fPr>
            <m:type m:val="bar"/>
          </m:fPr>
          <m:num>
            <m:sSub>
              <m:e>
                <m:r>
                  <w:rPr>
                    <w:rFonts w:ascii="Cambria Math" w:hAnsi="Cambria Math"/>
                  </w:rPr>
                  <m:t>U</m:t>
                </m:r>
              </m:e>
              <m:sub>
                <m:r>
                  <w:rPr>
                    <w:rFonts w:ascii="Cambria Math" w:hAnsi="Cambria Math"/>
                  </w:rPr>
                  <m:t>c</m:t>
                </m:r>
              </m:sub>
            </m:sSub>
            <m:d>
              <m:dPr>
                <m:sepChr m:val=","/>
              </m:dPr>
              <m:e>
                <m:r>
                  <w:rPr>
                    <w:rFonts w:ascii="Cambria Math" w:hAnsi="Cambria Math"/>
                  </w:rPr>
                  <m:t>X|t=</m:t>
                </m:r>
                <m:sSub>
                  <m:e>
                    <m:r>
                      <w:rPr>
                        <w:rFonts w:ascii="Cambria Math" w:hAnsi="Cambria Math"/>
                      </w:rPr>
                      <m:t>T</m:t>
                    </m:r>
                  </m:e>
                  <m:sub>
                    <m:r>
                      <w:rPr>
                        <w:rFonts w:ascii="Cambria Math" w:hAnsi="Cambria Math"/>
                      </w:rPr>
                      <m:t>0</m:t>
                    </m:r>
                  </m:sub>
                </m:sSub>
              </m:e>
            </m:d>
            <m:sSub>
              <m:e>
                <m:r>
                  <w:rPr>
                    <w:rFonts w:ascii="Cambria Math" w:hAnsi="Cambria Math"/>
                  </w:rPr>
                  <m:t>Q</m:t>
                </m:r>
              </m:e>
              <m:sub>
                <m:r>
                  <w:rPr>
                    <w:rFonts w:ascii="Cambria Math" w:hAnsi="Cambria Math"/>
                  </w:rPr>
                  <m:t>c</m:t>
                </m:r>
              </m:sub>
            </m:sSub>
          </m:num>
          <m:den>
            <m:r>
              <w:rPr>
                <w:rFonts w:ascii="Cambria Math" w:hAnsi="Cambria Math"/>
              </w:rPr>
              <m:t>Tota</m:t>
            </m:r>
            <m:sSub>
              <m:e>
                <m:r>
                  <w:rPr>
                    <w:rFonts w:ascii="Cambria Math" w:hAnsi="Cambria Math"/>
                  </w:rPr>
                  <m:t>l</m:t>
                </m:r>
              </m:e>
              <m:sub>
                <m:r>
                  <w:rPr>
                    <w:rFonts w:ascii="Cambria Math" w:hAnsi="Cambria Math"/>
                  </w:rPr>
                  <m:t>host</m:t>
                </m:r>
              </m:sub>
            </m:sSub>
          </m:den>
        </m:f>
      </m:oMath>
    </w:p>
    <w:p>
      <w:pPr>
        <w:spacing w:before="120" w:after="120" w:line="288" w:lineRule="auto"/>
        <w:ind w:left="453"/>
        <w:jc w:val="center"/>
      </w:pPr>
      <w:r>
        <w:rPr>
          <w:rFonts w:eastAsia="等线" w:ascii="Arial" w:cs="Arial" w:hAnsi="Arial"/>
          <w:sz w:val="22"/>
        </w:rPr>
      </w:r>
      <m:oMath xmlns:mml="http://www.w3.org/1998/Math/MathML">
        <m:sSub>
          <m:e>
            <m:r>
              <w:rPr>
                <w:rFonts w:ascii="Cambria Math" w:hAnsi="Cambria Math"/>
              </w:rPr>
              <m:t>u</m:t>
            </m:r>
          </m:e>
          <m:sub>
            <m:r>
              <w:rPr>
                <w:rFonts w:ascii="Cambria Math" w:hAnsi="Cambria Math"/>
              </w:rPr>
              <m:t>host</m:t>
            </m:r>
          </m:sub>
        </m:sSub>
        <m:r>
          <w:rPr>
            <w:rFonts w:ascii="Cambria Math" w:hAnsi="Cambria Math"/>
          </w:rPr>
          <m:t>=</m:t>
        </m:r>
        <m:f>
          <m:fPr>
            <m:type m:val="bar"/>
          </m:fPr>
          <m:num>
            <m:nary>
              <m:naryPr>
                <m:chr m:val="∑"/>
                <m:limLoc m:val="subSup"/>
                <m:grow m:val="1"/>
                <m:subHide m:val="off"/>
                <m:supHide m:val="on"/>
              </m:naryPr>
              <m:sub>
                <m:r>
                  <w:rPr>
                    <w:rFonts w:ascii="Cambria Math" w:hAnsi="Cambria Math"/>
                  </w:rPr>
                  <m:t>c∈Host</m:t>
                </m:r>
              </m:sub>
              <m:sup/>
              <m:e/>
            </m:nary>
            <m:sSub>
              <m:e>
                <m:r>
                  <w:rPr>
                    <w:rFonts w:ascii="Cambria Math" w:hAnsi="Cambria Math"/>
                  </w:rPr>
                  <m:t>u</m:t>
                </m:r>
              </m:e>
              <m:sub>
                <m:r>
                  <w:rPr>
                    <w:rFonts w:ascii="Cambria Math" w:hAnsi="Cambria Math"/>
                  </w:rPr>
                  <m:t>c</m:t>
                </m:r>
              </m:sub>
            </m:sSub>
            <m:sSub>
              <m:e>
                <m:r>
                  <w:rPr>
                    <w:rFonts w:ascii="Cambria Math" w:hAnsi="Cambria Math"/>
                  </w:rPr>
                  <m:t>Q</m:t>
                </m:r>
              </m:e>
              <m:sub>
                <m:r>
                  <w:rPr>
                    <w:rFonts w:ascii="Cambria Math" w:hAnsi="Cambria Math"/>
                  </w:rPr>
                  <m:t>c</m:t>
                </m:r>
              </m:sub>
            </m:sSub>
          </m:num>
          <m:den>
            <m:r>
              <w:rPr>
                <w:rFonts w:ascii="Cambria Math" w:hAnsi="Cambria Math"/>
              </w:rPr>
              <m:t>Tota</m:t>
            </m:r>
            <m:sSub>
              <m:e>
                <m:r>
                  <w:rPr>
                    <w:rFonts w:ascii="Cambria Math" w:hAnsi="Cambria Math"/>
                  </w:rPr>
                  <m:t>l</m:t>
                </m:r>
              </m:e>
              <m:sub>
                <m:r>
                  <w:rPr>
                    <w:rFonts w:ascii="Cambria Math" w:hAnsi="Cambria Math"/>
                  </w:rPr>
                  <m:t>host</m:t>
                </m:r>
              </m:sub>
            </m:sSub>
          </m:den>
        </m:f>
      </m:oMath>
    </w:p>
    <w:p>
      <w:pPr>
        <w:spacing w:before="120" w:after="120" w:line="288" w:lineRule="auto"/>
        <w:ind w:left="453"/>
        <w:jc w:val="center"/>
      </w:pPr>
      <w:r>
        <w:rPr>
          <w:rFonts w:eastAsia="等线" w:ascii="Arial" w:cs="Arial" w:hAnsi="Arial"/>
          <w:sz w:val="22"/>
        </w:rPr>
      </w:r>
      <m:oMath xmlns:mml="http://www.w3.org/1998/Math/MathML">
        <m:r>
          <w:rPr>
            <w:rFonts w:ascii="Cambria Math" w:hAnsi="Cambria Math"/>
          </w:rPr>
          <m:t>p=P</m:t>
        </m:r>
        <m:d>
          <m:dPr>
            <m:sepChr m:val=","/>
          </m:dPr>
          <m:e>
            <m:f>
              <m:fPr>
                <m:type m:val="bar"/>
              </m:fPr>
              <m:num>
                <m:nary>
                  <m:naryPr>
                    <m:chr m:val="∑"/>
                    <m:limLoc m:val="subSup"/>
                    <m:grow m:val="1"/>
                    <m:subHide m:val="off"/>
                    <m:supHide m:val="on"/>
                  </m:naryPr>
                  <m:sub>
                    <m:r>
                      <w:rPr>
                        <w:rFonts w:ascii="Cambria Math" w:hAnsi="Cambria Math"/>
                      </w:rPr>
                      <m:t>c∈Host</m:t>
                    </m:r>
                  </m:sub>
                  <m:sup/>
                  <m:e/>
                </m:nary>
                <m:sSub>
                  <m:e>
                    <m:r>
                      <w:rPr>
                        <w:rFonts w:ascii="Cambria Math" w:hAnsi="Cambria Math"/>
                      </w:rPr>
                      <m:t>u</m:t>
                    </m:r>
                  </m:e>
                  <m:sub>
                    <m:r>
                      <w:rPr>
                        <w:rFonts w:ascii="Cambria Math" w:hAnsi="Cambria Math"/>
                      </w:rPr>
                      <m:t>c</m:t>
                    </m:r>
                  </m:sub>
                </m:sSub>
                <m:sSub>
                  <m:e>
                    <m:r>
                      <w:rPr>
                        <w:rFonts w:ascii="Cambria Math" w:hAnsi="Cambria Math"/>
                      </w:rPr>
                      <m:t>Q</m:t>
                    </m:r>
                  </m:e>
                  <m:sub>
                    <m:r>
                      <w:rPr>
                        <w:rFonts w:ascii="Cambria Math" w:hAnsi="Cambria Math"/>
                      </w:rPr>
                      <m:t>c</m:t>
                    </m:r>
                  </m:sub>
                </m:sSub>
                <m:r>
                  <w:rPr>
                    <w:rFonts w:ascii="Cambria Math" w:hAnsi="Cambria Math"/>
                  </w:rPr>
                  <m:t>+</m:t>
                </m:r>
                <m:sSub>
                  <m:e>
                    <m:r>
                      <w:rPr>
                        <w:rFonts w:ascii="Cambria Math" w:hAnsi="Cambria Math"/>
                      </w:rPr>
                      <m:t>u</m:t>
                    </m:r>
                  </m:e>
                  <m:sub>
                    <m:sSub>
                      <m:e>
                        <m:r>
                          <w:rPr>
                            <w:rFonts w:ascii="Cambria Math" w:hAnsi="Cambria Math"/>
                          </w:rPr>
                          <m:t>c</m:t>
                        </m:r>
                      </m:e>
                      <m:sub>
                        <m:r>
                          <w:rPr>
                            <w:rFonts w:ascii="Cambria Math" w:hAnsi="Cambria Math"/>
                          </w:rPr>
                          <m:t>0</m:t>
                        </m:r>
                      </m:sub>
                    </m:sSub>
                  </m:sub>
                </m:sSub>
                <m:sSub>
                  <m:e>
                    <m:r>
                      <w:rPr>
                        <w:rFonts w:ascii="Cambria Math" w:hAnsi="Cambria Math"/>
                      </w:rPr>
                      <m:t>Q</m:t>
                    </m:r>
                  </m:e>
                  <m:sub>
                    <m:sSub>
                      <m:e>
                        <m:r>
                          <w:rPr>
                            <w:rFonts w:ascii="Cambria Math" w:hAnsi="Cambria Math"/>
                          </w:rPr>
                          <m:t>c</m:t>
                        </m:r>
                      </m:e>
                      <m:sub>
                        <m:r>
                          <w:rPr>
                            <w:rFonts w:ascii="Cambria Math" w:hAnsi="Cambria Math"/>
                          </w:rPr>
                          <m:t>0</m:t>
                        </m:r>
                      </m:sub>
                    </m:sSub>
                  </m:sub>
                </m:sSub>
              </m:num>
              <m:den>
                <m:r>
                  <w:rPr>
                    <w:rFonts w:ascii="Cambria Math" w:hAnsi="Cambria Math"/>
                  </w:rPr>
                  <m:t>Tota</m:t>
                </m:r>
                <m:sSub>
                  <m:e>
                    <m:r>
                      <w:rPr>
                        <w:rFonts w:ascii="Cambria Math" w:hAnsi="Cambria Math"/>
                      </w:rPr>
                      <m:t>l</m:t>
                    </m:r>
                  </m:e>
                  <m:sub>
                    <m:r>
                      <w:rPr>
                        <w:rFonts w:ascii="Cambria Math" w:hAnsi="Cambria Math"/>
                      </w:rPr>
                      <m:t>host</m:t>
                    </m:r>
                  </m:sub>
                </m:sSub>
              </m:den>
            </m:f>
            <m:r>
              <w:rPr>
                <w:rFonts w:ascii="Cambria Math" w:hAnsi="Cambria Math"/>
              </w:rPr>
              <m:t>&gt;0.6</m:t>
            </m:r>
          </m:e>
        </m:d>
      </m:oMath>
    </w:p>
    <w:p>
      <w:pPr>
        <w:spacing w:before="120" w:after="120" w:line="288" w:lineRule="auto"/>
        <w:ind w:left="453"/>
        <w:jc w:val="center"/>
      </w:pPr>
      <w:r>
        <w:rPr>
          <w:rFonts w:eastAsia="等线" w:ascii="Arial" w:cs="Arial" w:hAnsi="Arial"/>
          <w:sz w:val="22"/>
        </w:rPr>
      </w:r>
      <m:oMath xmlns:mml="http://www.w3.org/1998/Math/MathML">
        <m:r>
          <w:rPr>
            <w:rFonts w:ascii="Cambria Math" w:hAnsi="Cambria Math"/>
          </w:rPr>
          <m:t>λ=</m:t>
        </m:r>
        <m:d>
          <m:dPr>
            <m:begChr m:val="["/>
            <m:sepChr m:val=","/>
            <m:endChr m:val="]"/>
          </m:dPr>
          <m:e>
            <m:f>
              <m:fPr>
                <m:type m:val="bar"/>
              </m:fPr>
              <m:num>
                <m:nary>
                  <m:naryPr>
                    <m:chr m:val="∑"/>
                    <m:limLoc m:val="subSup"/>
                    <m:grow m:val="1"/>
                    <m:subHide m:val="off"/>
                    <m:supHide m:val="on"/>
                  </m:naryPr>
                  <m:sub>
                    <m:r>
                      <w:rPr>
                        <w:rFonts w:ascii="Cambria Math" w:hAnsi="Cambria Math"/>
                      </w:rPr>
                      <m:t>c∈Host</m:t>
                    </m:r>
                  </m:sub>
                  <m:sup/>
                  <m:e/>
                </m:nary>
                <m:sSub>
                  <m:e>
                    <m:r>
                      <w:rPr>
                        <w:rFonts w:ascii="Cambria Math" w:hAnsi="Cambria Math"/>
                      </w:rPr>
                      <m:t>u</m:t>
                    </m:r>
                  </m:e>
                  <m:sub>
                    <m:r>
                      <w:rPr>
                        <w:rFonts w:ascii="Cambria Math" w:hAnsi="Cambria Math"/>
                      </w:rPr>
                      <m:t>c</m:t>
                    </m:r>
                  </m:sub>
                </m:sSub>
                <m:sSub>
                  <m:e>
                    <m:r>
                      <w:rPr>
                        <w:rFonts w:ascii="Cambria Math" w:hAnsi="Cambria Math"/>
                      </w:rPr>
                      <m:t>Q</m:t>
                    </m:r>
                  </m:e>
                  <m:sub>
                    <m:r>
                      <w:rPr>
                        <w:rFonts w:ascii="Cambria Math" w:hAnsi="Cambria Math"/>
                      </w:rPr>
                      <m:t>c</m:t>
                    </m:r>
                  </m:sub>
                </m:sSub>
                <m:r>
                  <w:rPr>
                    <w:rFonts w:ascii="Cambria Math" w:hAnsi="Cambria Math"/>
                  </w:rPr>
                  <m:t>+</m:t>
                </m:r>
                <m:sSub>
                  <m:e>
                    <m:r>
                      <w:rPr>
                        <w:rFonts w:ascii="Cambria Math" w:hAnsi="Cambria Math"/>
                      </w:rPr>
                      <m:t>u</m:t>
                    </m:r>
                  </m:e>
                  <m:sub>
                    <m:sSub>
                      <m:e>
                        <m:r>
                          <w:rPr>
                            <w:rFonts w:ascii="Cambria Math" w:hAnsi="Cambria Math"/>
                          </w:rPr>
                          <m:t>c</m:t>
                        </m:r>
                      </m:e>
                      <m:sub>
                        <m:r>
                          <w:rPr>
                            <w:rFonts w:ascii="Cambria Math" w:hAnsi="Cambria Math"/>
                          </w:rPr>
                          <m:t>0</m:t>
                        </m:r>
                      </m:sub>
                    </m:sSub>
                  </m:sub>
                </m:sSub>
                <m:sSub>
                  <m:e>
                    <m:r>
                      <w:rPr>
                        <w:rFonts w:ascii="Cambria Math" w:hAnsi="Cambria Math"/>
                      </w:rPr>
                      <m:t>Q</m:t>
                    </m:r>
                  </m:e>
                  <m:sub>
                    <m:sSub>
                      <m:e>
                        <m:r>
                          <w:rPr>
                            <w:rFonts w:ascii="Cambria Math" w:hAnsi="Cambria Math"/>
                          </w:rPr>
                          <m:t>c</m:t>
                        </m:r>
                      </m:e>
                      <m:sub>
                        <m:r>
                          <w:rPr>
                            <w:rFonts w:ascii="Cambria Math" w:hAnsi="Cambria Math"/>
                          </w:rPr>
                          <m:t>0</m:t>
                        </m:r>
                      </m:sub>
                    </m:sSub>
                  </m:sub>
                </m:sSub>
              </m:num>
              <m:den>
                <m:r>
                  <w:rPr>
                    <w:rFonts w:ascii="Cambria Math" w:hAnsi="Cambria Math"/>
                  </w:rPr>
                  <m:t>Tota</m:t>
                </m:r>
                <m:sSub>
                  <m:e>
                    <m:r>
                      <w:rPr>
                        <w:rFonts w:ascii="Cambria Math" w:hAnsi="Cambria Math"/>
                      </w:rPr>
                      <m:t>l</m:t>
                    </m:r>
                  </m:e>
                  <m:sub>
                    <m:r>
                      <w:rPr>
                        <w:rFonts w:ascii="Cambria Math" w:hAnsi="Cambria Math"/>
                      </w:rPr>
                      <m:t>host</m:t>
                    </m:r>
                  </m:sub>
                </m:sSub>
              </m:den>
            </m:f>
          </m:e>
        </m:d>
        <m:r>
          <w:rPr>
            <w:rFonts w:ascii="Cambria Math" w:hAnsi="Cambria Math"/>
          </w:rPr>
          <m:t>,t∈</m:t>
        </m:r>
        <m:d>
          <m:dPr>
            <m:begChr m:val="["/>
            <m:sepChr m:val=","/>
            <m:endChr m:val="]"/>
          </m:dPr>
          <m:e>
            <m:r>
              <w:rPr>
                <w:rFonts w:ascii="Cambria Math" w:hAnsi="Cambria Math"/>
              </w:rPr>
              <m:t>1</m:t>
            </m:r>
          </m:e>
          <m:e>
            <m:r>
              <w:rPr>
                <w:rFonts w:ascii="Cambria Math" w:hAnsi="Cambria Math"/>
              </w:rPr>
              <m:t>24</m:t>
            </m:r>
          </m:e>
        </m:d>
      </m:oMath>
    </w:p>
    <w:p>
      <w:pPr>
        <w:spacing w:before="120" w:after="120" w:line="288" w:lineRule="auto"/>
        <w:ind w:left="453"/>
        <w:jc w:val="center"/>
      </w:pPr>
      <w:r>
        <w:rPr>
          <w:rFonts w:eastAsia="等线" w:ascii="Arial" w:cs="Arial" w:hAnsi="Arial"/>
          <w:sz w:val="22"/>
        </w:rPr>
      </w:r>
      <m:oMath xmlns:mml="http://www.w3.org/1998/Math/MathML">
        <m:r>
          <w:rPr>
            <w:rFonts w:ascii="Cambria Math" w:hAnsi="Cambria Math"/>
          </w:rPr>
          <m:t>∃</m:t>
        </m:r>
        <m:sSub>
          <m:e>
            <m:r>
              <w:rPr>
                <w:rFonts w:ascii="Cambria Math" w:hAnsi="Cambria Math"/>
              </w:rPr>
              <m:t>u</m:t>
            </m:r>
          </m:e>
          <m:sub>
            <m:r>
              <w:rPr>
                <w:rFonts w:ascii="Cambria Math" w:hAnsi="Cambria Math"/>
              </w:rPr>
              <m:t>c</m:t>
            </m:r>
          </m:sub>
        </m:sSub>
        <m:d>
          <m:dPr>
            <m:sepChr m:val=","/>
          </m:dPr>
          <m:e>
            <m:r>
              <w:rPr>
                <w:rFonts w:ascii="Cambria Math" w:hAnsi="Cambria Math"/>
              </w:rPr>
              <m:t>t</m:t>
            </m:r>
          </m:e>
        </m:d>
        <m:r>
          <w:rPr>
            <w:rFonts w:ascii="Cambria Math" w:hAnsi="Cambria Math"/>
          </w:rPr>
          <m:t>≤Pea</m:t>
        </m:r>
        <m:sSub>
          <m:e>
            <m:r>
              <w:rPr>
                <w:rFonts w:ascii="Cambria Math" w:hAnsi="Cambria Math"/>
              </w:rPr>
              <m:t>k</m:t>
            </m:r>
          </m:e>
          <m:sub>
            <m:r>
              <w:rPr>
                <w:rFonts w:ascii="Cambria Math" w:hAnsi="Cambria Math"/>
              </w:rPr>
              <m:t>c</m:t>
            </m:r>
          </m:sub>
        </m:sSub>
        <m:r>
          <w:rPr>
            <w:rFonts w:ascii="Cambria Math" w:hAnsi="Cambria Math"/>
          </w:rPr>
          <m:t>,∀t∈T</m:t>
        </m:r>
      </m:oMath>
    </w:p>
    <w:p>
      <w:pPr>
        <w:spacing w:before="120" w:after="120" w:line="288" w:lineRule="auto"/>
        <w:ind w:left="453"/>
        <w:jc w:val="center"/>
      </w:pPr>
      <w:r>
        <w:rPr>
          <w:rFonts w:eastAsia="等线" w:ascii="Arial" w:cs="Arial" w:hAnsi="Arial"/>
          <w:sz w:val="22"/>
        </w:rPr>
      </w:r>
      <m:oMath xmlns:mml="http://www.w3.org/1998/Math/MathML">
        <m:f>
          <m:fPr>
            <m:type m:val="bar"/>
          </m:fPr>
          <m:num>
            <m:nary>
              <m:naryPr>
                <m:chr m:val="∑"/>
                <m:limLoc m:val="subSup"/>
                <m:grow m:val="1"/>
                <m:subHide m:val="off"/>
                <m:supHide m:val="on"/>
              </m:naryPr>
              <m:sub>
                <m:r>
                  <w:rPr>
                    <w:rFonts w:ascii="Cambria Math" w:hAnsi="Cambria Math"/>
                  </w:rPr>
                  <m:t>c∈Host</m:t>
                </m:r>
              </m:sub>
              <m:sup/>
              <m:e/>
            </m:nary>
            <m:r>
              <w:rPr>
                <w:rFonts w:ascii="Cambria Math" w:hAnsi="Cambria Math"/>
              </w:rPr>
              <m:t>Pea</m:t>
            </m:r>
            <m:sSub>
              <m:e>
                <m:r>
                  <w:rPr>
                    <w:rFonts w:ascii="Cambria Math" w:hAnsi="Cambria Math"/>
                  </w:rPr>
                  <m:t>k</m:t>
                </m:r>
              </m:e>
              <m:sub>
                <m:r>
                  <w:rPr>
                    <w:rFonts w:ascii="Cambria Math" w:hAnsi="Cambria Math"/>
                  </w:rPr>
                  <m:t>c</m:t>
                </m:r>
              </m:sub>
            </m:sSub>
            <m:r>
              <w:rPr>
                <w:rFonts w:ascii="Cambria Math" w:hAnsi="Cambria Math"/>
              </w:rPr>
              <m:t>Quot</m:t>
            </m:r>
            <m:sSub>
              <m:e>
                <m:r>
                  <w:rPr>
                    <w:rFonts w:ascii="Cambria Math" w:hAnsi="Cambria Math"/>
                  </w:rPr>
                  <m:t>a</m:t>
                </m:r>
              </m:e>
              <m:sub>
                <m:r>
                  <w:rPr>
                    <w:rFonts w:ascii="Cambria Math" w:hAnsi="Cambria Math"/>
                  </w:rPr>
                  <m:t>c</m:t>
                </m:r>
              </m:sub>
            </m:sSub>
            <m:r>
              <w:rPr>
                <w:rFonts w:ascii="Cambria Math" w:hAnsi="Cambria Math"/>
              </w:rPr>
              <m:t>+Pea</m:t>
            </m:r>
            <m:sSub>
              <m:e>
                <m:r>
                  <w:rPr>
                    <w:rFonts w:ascii="Cambria Math" w:hAnsi="Cambria Math"/>
                  </w:rPr>
                  <m:t>k</m:t>
                </m:r>
              </m:e>
              <m:sub>
                <m:sSub>
                  <m:e>
                    <m:r>
                      <w:rPr>
                        <w:rFonts w:ascii="Cambria Math" w:hAnsi="Cambria Math"/>
                      </w:rPr>
                      <m:t>c</m:t>
                    </m:r>
                  </m:e>
                  <m:sub>
                    <m:r>
                      <w:rPr>
                        <w:rFonts w:ascii="Cambria Math" w:hAnsi="Cambria Math"/>
                      </w:rPr>
                      <m:t>0</m:t>
                    </m:r>
                  </m:sub>
                </m:sSub>
              </m:sub>
            </m:sSub>
            <m:r>
              <w:rPr>
                <w:rFonts w:ascii="Cambria Math" w:hAnsi="Cambria Math"/>
              </w:rPr>
              <m:t>Quot</m:t>
            </m:r>
            <m:sSub>
              <m:e>
                <m:r>
                  <w:rPr>
                    <w:rFonts w:ascii="Cambria Math" w:hAnsi="Cambria Math"/>
                  </w:rPr>
                  <m:t>a</m:t>
                </m:r>
              </m:e>
              <m:sub>
                <m:sSub>
                  <m:e>
                    <m:r>
                      <w:rPr>
                        <w:rFonts w:ascii="Cambria Math" w:hAnsi="Cambria Math"/>
                      </w:rPr>
                      <m:t>c</m:t>
                    </m:r>
                  </m:e>
                  <m:sub>
                    <m:r>
                      <w:rPr>
                        <w:rFonts w:ascii="Cambria Math" w:hAnsi="Cambria Math"/>
                      </w:rPr>
                      <m:t>0</m:t>
                    </m:r>
                  </m:sub>
                </m:sSub>
              </m:sub>
            </m:sSub>
          </m:num>
          <m:den>
            <m:r>
              <w:rPr>
                <w:rFonts w:ascii="Cambria Math" w:hAnsi="Cambria Math"/>
              </w:rPr>
              <m:t>Tota</m:t>
            </m:r>
            <m:sSub>
              <m:e>
                <m:r>
                  <w:rPr>
                    <w:rFonts w:ascii="Cambria Math" w:hAnsi="Cambria Math"/>
                  </w:rPr>
                  <m:t>l</m:t>
                </m:r>
              </m:e>
              <m:sub>
                <m:r>
                  <w:rPr>
                    <w:rFonts w:ascii="Cambria Math" w:hAnsi="Cambria Math"/>
                  </w:rPr>
                  <m:t>host</m:t>
                </m:r>
              </m:sub>
            </m:sSub>
          </m:den>
        </m:f>
        <m:r>
          <w:rPr>
            <w:rFonts w:ascii="Cambria Math" w:hAnsi="Cambria Math"/>
          </w:rPr>
          <m:t>≤α=0.6</m:t>
        </m:r>
      </m:oMath>
    </w:p>
    <w:p>
      <w:pPr>
        <w:numPr>
          <w:numId w:val="35"/>
        </w:numPr>
        <w:spacing w:before="120" w:after="120" w:line="288" w:lineRule="auto"/>
        <w:ind w:left="0"/>
        <w:jc w:val="left"/>
      </w:pPr>
      <w:r>
        <w:rPr>
          <w:rFonts w:eastAsia="等线" w:ascii="Arial" w:cs="Arial" w:hAnsi="Arial"/>
          <w:b w:val="true"/>
          <w:sz w:val="22"/>
        </w:rPr>
        <w:t>事后处理</w:t>
      </w:r>
      <w:r>
        <w:rPr>
          <w:rFonts w:eastAsia="等线" w:ascii="Arial" w:cs="Arial" w:hAnsi="Arial"/>
          <w:sz w:val="22"/>
        </w:rPr>
        <w:t>：针对发生热点的机器，做更有效更快速的处理。热点自动迁移通过对热点机器上的容器进行选择和迁移来处理热点。容器选择考虑以下因素：</w:t>
      </w:r>
    </w:p>
    <w:p>
      <w:pPr>
        <w:numPr>
          <w:numId w:val="36"/>
        </w:numPr>
        <w:spacing w:before="120" w:after="120" w:line="288" w:lineRule="auto"/>
        <w:ind w:left="453"/>
        <w:jc w:val="left"/>
      </w:pPr>
      <w:r>
        <w:rPr>
          <w:rFonts w:eastAsia="等线" w:ascii="Arial" w:cs="Arial" w:hAnsi="Arial"/>
          <w:sz w:val="22"/>
        </w:rPr>
        <w:t>迁移成本</w:t>
      </w:r>
    </w:p>
    <w:p>
      <w:pPr>
        <w:numPr>
          <w:numId w:val="37"/>
        </w:numPr>
        <w:spacing w:before="120" w:after="120" w:line="288" w:lineRule="auto"/>
        <w:ind w:left="453"/>
        <w:jc w:val="left"/>
      </w:pPr>
      <w:r>
        <w:rPr>
          <w:rFonts w:eastAsia="等线" w:ascii="Arial" w:cs="Arial" w:hAnsi="Arial"/>
          <w:sz w:val="22"/>
        </w:rPr>
        <w:t>迁移数量</w:t>
      </w:r>
    </w:p>
    <w:p>
      <w:pPr>
        <w:numPr>
          <w:numId w:val="38"/>
        </w:numPr>
        <w:spacing w:before="120" w:after="120" w:line="288" w:lineRule="auto"/>
        <w:ind w:left="453"/>
        <w:jc w:val="left"/>
      </w:pPr>
      <w:r>
        <w:rPr>
          <w:rFonts w:eastAsia="等线" w:ascii="Arial" w:cs="Arial" w:hAnsi="Arial"/>
          <w:sz w:val="22"/>
        </w:rPr>
        <w:t>待迁移服务的总体质量</w:t>
      </w:r>
    </w:p>
    <w:p>
      <w:pPr>
        <w:spacing w:before="120" w:after="120" w:line="288" w:lineRule="auto"/>
        <w:ind w:left="453"/>
        <w:jc w:val="left"/>
      </w:pPr>
      <w:r>
        <w:rPr>
          <w:rFonts w:eastAsia="等线" w:ascii="Arial" w:cs="Arial" w:hAnsi="Arial"/>
          <w:sz w:val="22"/>
        </w:rPr>
        <w:t>迁移策略包括随机选择和通过打分进行选择（考虑服务敏感程度、服务整体运行状态、单个容器迁移成本）。</w:t>
      </w:r>
    </w:p>
    <w:p>
      <w:pPr>
        <w:spacing w:before="120" w:after="120" w:line="288" w:lineRule="auto"/>
        <w:ind w:left="0"/>
        <w:jc w:val="left"/>
      </w:pPr>
      <w:r>
        <w:rPr>
          <w:rFonts w:eastAsia="等线" w:ascii="Arial" w:cs="Arial" w:hAnsi="Arial"/>
          <w:sz w:val="22"/>
        </w:rPr>
        <w:t>热点治理是资源超售中的重要环节，通过有效的热点预防和处理机制，可以在提高资源利用率的同时保障系统稳定性和服务质量。</w:t>
      </w:r>
    </w:p>
    <w:p>
      <w:pPr>
        <w:spacing w:before="120" w:after="120" w:line="288" w:lineRule="auto"/>
        <w:ind w:left="0"/>
        <w:jc w:val="center"/>
      </w:pPr>
      <w:r>
        <w:drawing>
          <wp:inline distT="0" distR="0" distB="0" distL="0">
            <wp:extent cx="1685925" cy="3771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685925" cy="3771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图4：热点处理流程。热点处理包括发现热点、处理热点和迁移实例三个步骤，通过这一流程实现对热点的有效治理。</w:t>
      </w:r>
    </w:p>
    <w:p>
      <w:pPr>
        <w:pStyle w:val="3"/>
        <w:spacing w:before="300" w:after="120" w:line="288" w:lineRule="auto"/>
        <w:ind w:left="0"/>
        <w:jc w:val="left"/>
        <w:outlineLvl w:val="2"/>
      </w:pPr>
      <w:bookmarkStart w:name="heading_19" w:id="19"/>
      <w:r>
        <w:rPr>
          <w:rFonts w:eastAsia="等线" w:ascii="Arial" w:cs="Arial" w:hAnsi="Arial"/>
          <w:b w:val="true"/>
          <w:sz w:val="30"/>
        </w:rPr>
        <w:t>3.3 两种方法的协同机制</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3.3.1 共同的技术基础</w:t>
      </w:r>
      <w:bookmarkEnd w:id="20"/>
    </w:p>
    <w:p>
      <w:pPr>
        <w:spacing w:before="120" w:after="120" w:line="288" w:lineRule="auto"/>
        <w:ind w:left="0"/>
        <w:jc w:val="left"/>
      </w:pPr>
      <w:r>
        <w:rPr>
          <w:rFonts w:eastAsia="等线" w:ascii="Arial" w:cs="Arial" w:hAnsi="Arial"/>
          <w:sz w:val="22"/>
        </w:rPr>
        <w:t>热点调度策略和资源超售方法虽然关注点不同，但共享以下技术基础：</w:t>
      </w:r>
    </w:p>
    <w:p>
      <w:pPr>
        <w:spacing w:before="120" w:after="120" w:line="288" w:lineRule="auto"/>
        <w:ind w:left="0"/>
        <w:jc w:val="left"/>
      </w:pPr>
      <w:r>
        <w:rPr>
          <w:rFonts w:eastAsia="等线" w:ascii="Arial" w:cs="Arial" w:hAnsi="Arial"/>
          <w:b w:val="true"/>
          <w:sz w:val="22"/>
        </w:rPr>
        <w:t>服务画像技术</w:t>
      </w:r>
    </w:p>
    <w:p>
      <w:pPr>
        <w:spacing w:before="120" w:after="120" w:line="288" w:lineRule="auto"/>
        <w:ind w:left="0"/>
        <w:jc w:val="left"/>
      </w:pPr>
      <w:r>
        <w:rPr>
          <w:rFonts w:eastAsia="等线" w:ascii="Arial" w:cs="Arial" w:hAnsi="Arial"/>
          <w:sz w:val="22"/>
        </w:rPr>
        <w:t>两种方法都依赖于对服务资源使用模式的分析。热点调度通过服务画像计算特征值，资源超售通过服务画像预测资源需求。</w:t>
      </w:r>
    </w:p>
    <w:p>
      <w:pPr>
        <w:spacing w:before="120" w:after="120" w:line="288" w:lineRule="auto"/>
        <w:ind w:left="0"/>
        <w:jc w:val="left"/>
      </w:pPr>
      <w:r>
        <w:rPr>
          <w:rFonts w:eastAsia="等线" w:ascii="Arial" w:cs="Arial" w:hAnsi="Arial"/>
          <w:b w:val="true"/>
          <w:sz w:val="22"/>
        </w:rPr>
        <w:t>容器服务特征值管理服务</w:t>
      </w:r>
      <w:r>
        <w:rPr>
          <w:rFonts w:eastAsia="等线" w:ascii="Arial" w:cs="Arial" w:hAnsi="Arial"/>
          <w:b w:val="true"/>
          <w:sz w:val="22"/>
        </w:rPr>
        <w:t>与</w:t>
      </w:r>
      <w:r>
        <w:rPr>
          <w:rFonts w:eastAsia="等线" w:ascii="Arial" w:cs="Arial" w:hAnsi="Arial"/>
          <w:b w:val="true"/>
          <w:sz w:val="22"/>
        </w:rPr>
        <w:t>Schedulerler</w:t>
      </w:r>
      <w:r>
        <w:rPr>
          <w:rFonts w:eastAsia="等线" w:ascii="Arial" w:cs="Arial" w:hAnsi="Arial"/>
          <w:b w:val="true"/>
          <w:sz w:val="22"/>
        </w:rPr>
        <w:t>的协同工作机制</w:t>
      </w:r>
    </w:p>
    <w:p>
      <w:pPr>
        <w:spacing w:before="120" w:after="120" w:line="288" w:lineRule="auto"/>
        <w:ind w:left="0"/>
        <w:jc w:val="left"/>
      </w:pPr>
      <w:r>
        <w:rPr>
          <w:rFonts w:eastAsia="等线" w:ascii="Arial" w:cs="Arial" w:hAnsi="Arial"/>
          <w:sz w:val="22"/>
        </w:rPr>
        <w:t>两种方法都需要</w:t>
      </w:r>
      <w:r>
        <w:rPr>
          <w:rFonts w:eastAsia="等线" w:ascii="Arial" w:cs="Arial" w:hAnsi="Arial"/>
          <w:sz w:val="22"/>
        </w:rPr>
        <w:t>容器服务特征值管理服务</w:t>
      </w:r>
      <w:r>
        <w:rPr>
          <w:rFonts w:eastAsia="等线" w:ascii="Arial" w:cs="Arial" w:hAnsi="Arial"/>
          <w:sz w:val="22"/>
        </w:rPr>
        <w:t>收集和分析数据，然后将结果同步给</w:t>
      </w:r>
      <w:r>
        <w:rPr>
          <w:rFonts w:eastAsia="等线" w:ascii="Arial" w:cs="Arial" w:hAnsi="Arial"/>
          <w:sz w:val="22"/>
        </w:rPr>
        <w:t>Scheduler</w:t>
      </w:r>
      <w:r>
        <w:rPr>
          <w:rFonts w:eastAsia="等线" w:ascii="Arial" w:cs="Arial" w:hAnsi="Arial"/>
          <w:sz w:val="22"/>
        </w:rPr>
        <w:t>进行调度决策。</w:t>
      </w:r>
    </w:p>
    <w:p>
      <w:pPr>
        <w:spacing w:before="120" w:after="120" w:line="288" w:lineRule="auto"/>
        <w:ind w:left="0"/>
        <w:jc w:val="left"/>
      </w:pPr>
      <w:r>
        <w:rPr>
          <w:rFonts w:eastAsia="等线" w:ascii="Arial" w:cs="Arial" w:hAnsi="Arial"/>
          <w:b w:val="true"/>
          <w:sz w:val="22"/>
        </w:rPr>
        <w:t>热点治理能力</w:t>
      </w:r>
    </w:p>
    <w:p>
      <w:pPr>
        <w:spacing w:before="120" w:after="120" w:line="288" w:lineRule="auto"/>
        <w:ind w:left="0"/>
        <w:jc w:val="left"/>
      </w:pPr>
      <w:r>
        <w:rPr>
          <w:rFonts w:eastAsia="等线" w:ascii="Arial" w:cs="Arial" w:hAnsi="Arial"/>
          <w:sz w:val="22"/>
        </w:rPr>
        <w:t>两种方法都需要热点检测和处理机制，以保障系统稳定性和服务质量。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共同的技术基础为两种方法的协同提供了可能性，使它们能够共享数据和基础设施，降低实现成本。</w:t>
      </w:r>
    </w:p>
    <w:p>
      <w:pPr>
        <w:pStyle w:val="4"/>
        <w:spacing w:before="260" w:after="120" w:line="288" w:lineRule="auto"/>
        <w:ind w:left="0"/>
        <w:jc w:val="left"/>
        <w:outlineLvl w:val="3"/>
      </w:pPr>
      <w:bookmarkStart w:name="heading_21" w:id="21"/>
      <w:r>
        <w:rPr>
          <w:rFonts w:eastAsia="等线" w:ascii="Arial" w:cs="Arial" w:hAnsi="Arial"/>
          <w:b w:val="true"/>
          <w:sz w:val="28"/>
        </w:rPr>
        <w:t>3.3.2 互补性分析</w:t>
      </w:r>
      <w:bookmarkEnd w:id="21"/>
    </w:p>
    <w:p>
      <w:pPr>
        <w:spacing w:before="120" w:after="120" w:line="288" w:lineRule="auto"/>
        <w:ind w:left="0"/>
        <w:jc w:val="left"/>
      </w:pPr>
      <w:r>
        <w:rPr>
          <w:rFonts w:eastAsia="等线" w:ascii="Arial" w:cs="Arial" w:hAnsi="Arial"/>
          <w:sz w:val="22"/>
        </w:rPr>
        <w:t>热点调度策略和资源超售方法在资源管理方面具有明显的互补性：</w:t>
      </w:r>
    </w:p>
    <w:p>
      <w:pPr>
        <w:numPr>
          <w:numId w:val="39"/>
        </w:numPr>
        <w:spacing w:before="120" w:after="120" w:line="288" w:lineRule="auto"/>
        <w:ind w:left="0"/>
        <w:jc w:val="left"/>
      </w:pPr>
      <w:r>
        <w:rPr>
          <w:rFonts w:eastAsia="等线" w:ascii="Arial" w:cs="Arial" w:hAnsi="Arial"/>
          <w:b w:val="true"/>
          <w:sz w:val="22"/>
        </w:rPr>
        <w:t>热点调度解决资源分布均衡性问题</w:t>
      </w:r>
      <w:r>
        <w:rPr>
          <w:rFonts w:eastAsia="等线" w:ascii="Arial" w:cs="Arial" w:hAnsi="Arial"/>
          <w:sz w:val="22"/>
        </w:rPr>
        <w:t>：热点调度策略关注集群内机器负载的均衡性，通过特征值计算和机器分级调度机制，避免部分机器成为热点，提高资源分布的均衡性。</w:t>
      </w:r>
    </w:p>
    <w:p>
      <w:pPr>
        <w:numPr>
          <w:numId w:val="40"/>
        </w:numPr>
        <w:spacing w:before="120" w:after="120" w:line="288" w:lineRule="auto"/>
        <w:ind w:left="0"/>
        <w:jc w:val="left"/>
      </w:pPr>
      <w:r>
        <w:rPr>
          <w:rFonts w:eastAsia="等线" w:ascii="Arial" w:cs="Arial" w:hAnsi="Arial"/>
          <w:b w:val="true"/>
          <w:sz w:val="22"/>
        </w:rPr>
        <w:t>资源超售解决整体利用率问题</w:t>
      </w:r>
      <w:r>
        <w:rPr>
          <w:rFonts w:eastAsia="等线" w:ascii="Arial" w:cs="Arial" w:hAnsi="Arial"/>
          <w:sz w:val="22"/>
        </w:rPr>
        <w:t>：资源超售方法关注整体资源利用率，通过回收未使用资源进行二次分配，提高资源的整体利用率。</w:t>
      </w:r>
    </w:p>
    <w:p>
      <w:pPr>
        <w:spacing w:before="120" w:after="120" w:line="288" w:lineRule="auto"/>
        <w:ind w:left="0"/>
        <w:jc w:val="left"/>
      </w:pPr>
      <w:r>
        <w:rPr>
          <w:rFonts w:eastAsia="等线" w:ascii="Arial" w:cs="Arial" w:hAnsi="Arial"/>
          <w:sz w:val="22"/>
        </w:rPr>
        <w:t>这种互补性使得两种方法协同使用时，能够从不同维度优化资源管理，形成更完整的解决方案。</w:t>
      </w:r>
    </w:p>
    <w:p>
      <w:pPr>
        <w:pStyle w:val="4"/>
        <w:spacing w:before="260" w:after="120" w:line="288" w:lineRule="auto"/>
        <w:ind w:left="0"/>
        <w:jc w:val="left"/>
        <w:outlineLvl w:val="3"/>
      </w:pPr>
      <w:bookmarkStart w:name="heading_22" w:id="22"/>
      <w:r>
        <w:rPr>
          <w:rFonts w:eastAsia="等线" w:ascii="Arial" w:cs="Arial" w:hAnsi="Arial"/>
          <w:b w:val="true"/>
          <w:sz w:val="28"/>
        </w:rPr>
        <w:t>3.3.3 协同工作流程</w:t>
      </w:r>
      <w:bookmarkEnd w:id="22"/>
    </w:p>
    <w:p>
      <w:pPr>
        <w:spacing w:before="120" w:after="120" w:line="288" w:lineRule="auto"/>
        <w:ind w:left="0"/>
        <w:jc w:val="left"/>
      </w:pPr>
      <w:r>
        <w:rPr>
          <w:rFonts w:eastAsia="等线" w:ascii="Arial" w:cs="Arial" w:hAnsi="Arial"/>
          <w:sz w:val="22"/>
        </w:rPr>
        <w:t>热点调度策略和资源超售方法的协同工作流程主要包括：</w:t>
      </w:r>
    </w:p>
    <w:p>
      <w:pPr>
        <w:numPr>
          <w:numId w:val="41"/>
        </w:numPr>
        <w:spacing w:before="120" w:after="120" w:line="288" w:lineRule="auto"/>
        <w:ind w:left="0"/>
        <w:jc w:val="left"/>
      </w:pPr>
      <w:r>
        <w:rPr>
          <w:rFonts w:eastAsia="等线" w:ascii="Arial" w:cs="Arial" w:hAnsi="Arial"/>
          <w:b w:val="true"/>
          <w:sz w:val="22"/>
        </w:rPr>
        <w:t>系统架构整合</w:t>
      </w:r>
      <w:r>
        <w:rPr>
          <w:rFonts w:eastAsia="等线" w:ascii="Arial" w:cs="Arial" w:hAnsi="Arial"/>
          <w:sz w:val="22"/>
        </w:rPr>
        <w:t>：将热点调度和资源超售集成到同一系统架构中，共享数据采集和分析模块。</w:t>
      </w:r>
    </w:p>
    <w:p>
      <w:pPr>
        <w:numPr>
          <w:numId w:val="42"/>
        </w:numPr>
        <w:spacing w:before="120" w:after="120" w:line="288" w:lineRule="auto"/>
        <w:ind w:left="0"/>
        <w:jc w:val="left"/>
      </w:pPr>
      <w:r>
        <w:rPr>
          <w:rFonts w:eastAsia="等线" w:ascii="Arial" w:cs="Arial" w:hAnsi="Arial"/>
          <w:b w:val="true"/>
          <w:sz w:val="22"/>
        </w:rPr>
        <w:t>调度决策中的双重考量机制</w:t>
      </w:r>
      <w:r>
        <w:rPr>
          <w:rFonts w:eastAsia="等线" w:ascii="Arial" w:cs="Arial" w:hAnsi="Arial"/>
          <w:sz w:val="22"/>
        </w:rPr>
        <w:t>：在调度决策中同时考虑热点避免和资源超售，根据系统状态动态调整两种策略的权重。</w:t>
      </w:r>
    </w:p>
    <w:p>
      <w:pPr>
        <w:numPr>
          <w:numId w:val="43"/>
        </w:numPr>
        <w:spacing w:before="120" w:after="120" w:line="288" w:lineRule="auto"/>
        <w:ind w:left="0"/>
        <w:jc w:val="left"/>
      </w:pPr>
      <w:r>
        <w:rPr>
          <w:rFonts w:eastAsia="等线" w:ascii="Arial" w:cs="Arial" w:hAnsi="Arial"/>
          <w:b w:val="true"/>
          <w:sz w:val="22"/>
        </w:rPr>
        <w:t>热点处理的分级响应策略</w:t>
      </w:r>
      <w:r>
        <w:rPr>
          <w:rFonts w:eastAsia="等线" w:ascii="Arial" w:cs="Arial" w:hAnsi="Arial"/>
          <w:sz w:val="22"/>
        </w:rPr>
        <w:t>：根据热点程度和类型，采用不同的处理策略，如调整超售比例、迁移容器等。</w:t>
      </w:r>
    </w:p>
    <w:p>
      <w:pPr>
        <w:spacing w:before="120" w:after="120" w:line="288" w:lineRule="auto"/>
        <w:ind w:left="0"/>
        <w:jc w:val="left"/>
      </w:pPr>
      <w:r>
        <w:rPr>
          <w:rFonts w:eastAsia="等线" w:ascii="Arial" w:cs="Arial" w:hAnsi="Arial"/>
          <w:sz w:val="22"/>
        </w:rPr>
        <w:t>协同工作流程的设计需要考虑两种方法的特点和相互影响，确保它们能够协同工作，而不是相互冲突。</w:t>
      </w:r>
    </w:p>
    <w:p>
      <w:pPr>
        <w:pStyle w:val="4"/>
        <w:spacing w:before="260" w:after="120" w:line="288" w:lineRule="auto"/>
        <w:ind w:left="0"/>
        <w:jc w:val="left"/>
        <w:outlineLvl w:val="3"/>
      </w:pPr>
      <w:bookmarkStart w:name="heading_23" w:id="23"/>
      <w:r>
        <w:rPr>
          <w:rFonts w:eastAsia="等线" w:ascii="Arial" w:cs="Arial" w:hAnsi="Arial"/>
          <w:b w:val="true"/>
          <w:sz w:val="28"/>
        </w:rPr>
        <w:t>3.3.4 潜在冲突与解决方案</w:t>
      </w:r>
      <w:bookmarkEnd w:id="23"/>
    </w:p>
    <w:p>
      <w:pPr>
        <w:spacing w:before="120" w:after="120" w:line="288" w:lineRule="auto"/>
        <w:ind w:left="0"/>
        <w:jc w:val="left"/>
      </w:pPr>
      <w:r>
        <w:rPr>
          <w:rFonts w:eastAsia="等线" w:ascii="Arial" w:cs="Arial" w:hAnsi="Arial"/>
          <w:sz w:val="22"/>
        </w:rPr>
        <w:t>热点调度策略和资源超售方法在协同工作时可能存在以下潜在冲突：</w:t>
      </w:r>
    </w:p>
    <w:p>
      <w:pPr>
        <w:numPr>
          <w:numId w:val="44"/>
        </w:numPr>
        <w:spacing w:before="120" w:after="120" w:line="288" w:lineRule="auto"/>
        <w:ind w:left="0"/>
        <w:jc w:val="left"/>
      </w:pPr>
      <w:r>
        <w:rPr>
          <w:rFonts w:eastAsia="等线" w:ascii="Arial" w:cs="Arial" w:hAnsi="Arial"/>
          <w:b w:val="true"/>
          <w:sz w:val="22"/>
        </w:rPr>
        <w:t>超售环境下热点增加</w:t>
      </w:r>
      <w:r>
        <w:rPr>
          <w:rFonts w:eastAsia="等线" w:ascii="Arial" w:cs="Arial" w:hAnsi="Arial"/>
          <w:sz w:val="22"/>
        </w:rPr>
        <w:t>：资源超售可能导致热点机器数量增加，与热点调度的目标相冲突。解决方案是通过动态调整超售比例，在热点机器数量超过阈值时降低超售比例。</w:t>
      </w:r>
    </w:p>
    <w:p>
      <w:pPr>
        <w:numPr>
          <w:numId w:val="45"/>
        </w:numPr>
        <w:spacing w:before="120" w:after="120" w:line="288" w:lineRule="auto"/>
        <w:ind w:left="0"/>
        <w:jc w:val="left"/>
      </w:pPr>
      <w:r>
        <w:rPr>
          <w:rFonts w:eastAsia="等线" w:ascii="Arial" w:cs="Arial" w:hAnsi="Arial"/>
          <w:b w:val="true"/>
          <w:sz w:val="22"/>
        </w:rPr>
        <w:t>调度与超售参数的冲突</w:t>
      </w:r>
      <w:r>
        <w:rPr>
          <w:rFonts w:eastAsia="等线" w:ascii="Arial" w:cs="Arial" w:hAnsi="Arial"/>
          <w:sz w:val="22"/>
        </w:rPr>
        <w:t>：热点调度和资源超售可能需要不同的参数设置，导致参数冲突。解决方案是设计统一的参数调整机制，根据系统状态动态调整参数。</w:t>
      </w:r>
    </w:p>
    <w:p>
      <w:pPr>
        <w:spacing w:before="120" w:after="120" w:line="288" w:lineRule="auto"/>
        <w:ind w:left="0"/>
        <w:jc w:val="left"/>
      </w:pPr>
      <w:r>
        <w:rPr>
          <w:rFonts w:eastAsia="等线" w:ascii="Arial" w:cs="Arial" w:hAnsi="Arial"/>
          <w:sz w:val="22"/>
        </w:rPr>
        <w:t>通过合理的冲突解决机制，可以确保热点调度和资源超售在协同工作时相互促进而非相互干扰，从而实现更好的资源管理效果。</w:t>
      </w:r>
    </w:p>
    <w:p>
      <w:pPr>
        <w:pStyle w:val="2"/>
        <w:spacing w:before="320" w:after="120" w:line="288" w:lineRule="auto"/>
        <w:ind w:left="0"/>
        <w:jc w:val="left"/>
        <w:outlineLvl w:val="1"/>
      </w:pPr>
      <w:bookmarkStart w:name="heading_24" w:id="24"/>
      <w:r>
        <w:rPr>
          <w:rFonts w:eastAsia="等线" w:ascii="Arial" w:cs="Arial" w:hAnsi="Arial"/>
          <w:b w:val="true"/>
          <w:sz w:val="32"/>
        </w:rPr>
        <w:t>4</w:t>
      </w:r>
      <w:r>
        <w:rPr>
          <w:rFonts w:eastAsia="等线" w:ascii="Arial" w:cs="Arial" w:hAnsi="Arial"/>
          <w:b w:val="true"/>
          <w:sz w:val="32"/>
        </w:rPr>
        <w:t>. 讨论</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4</w:t>
      </w:r>
      <w:r>
        <w:rPr>
          <w:rFonts w:eastAsia="等线" w:ascii="Arial" w:cs="Arial" w:hAnsi="Arial"/>
          <w:b w:val="true"/>
          <w:sz w:val="30"/>
        </w:rPr>
        <w:t>.1 方法优势</w:t>
      </w:r>
      <w:bookmarkEnd w:id="25"/>
    </w:p>
    <w:p>
      <w:pPr>
        <w:pStyle w:val="4"/>
        <w:spacing w:before="260" w:after="120" w:line="288" w:lineRule="auto"/>
        <w:ind w:left="0"/>
        <w:jc w:val="left"/>
        <w:outlineLvl w:val="3"/>
      </w:pPr>
      <w:bookmarkStart w:name="heading_26" w:id="26"/>
      <w:r>
        <w:rPr>
          <w:rFonts w:eastAsia="等线" w:ascii="Arial" w:cs="Arial" w:hAnsi="Arial"/>
          <w:b w:val="true"/>
          <w:sz w:val="28"/>
        </w:rPr>
        <w:t>4.</w:t>
      </w:r>
      <w:r>
        <w:rPr>
          <w:rFonts w:eastAsia="等线" w:ascii="Arial" w:cs="Arial" w:hAnsi="Arial"/>
          <w:b w:val="true"/>
          <w:sz w:val="28"/>
        </w:rPr>
        <w:t>1.1 热点调度策略的优势</w:t>
      </w:r>
      <w:bookmarkEnd w:id="26"/>
    </w:p>
    <w:p>
      <w:pPr>
        <w:spacing w:before="120" w:after="120" w:line="288" w:lineRule="auto"/>
        <w:ind w:left="0"/>
        <w:jc w:val="left"/>
      </w:pPr>
      <w:r>
        <w:rPr>
          <w:rFonts w:eastAsia="等线" w:ascii="Arial" w:cs="Arial" w:hAnsi="Arial"/>
          <w:sz w:val="22"/>
        </w:rPr>
        <w:t>热点调度策略具有以下优势：</w:t>
      </w:r>
    </w:p>
    <w:p>
      <w:pPr>
        <w:numPr>
          <w:numId w:val="46"/>
        </w:numPr>
        <w:spacing w:before="120" w:after="120" w:line="288" w:lineRule="auto"/>
        <w:ind w:left="0"/>
        <w:jc w:val="left"/>
      </w:pPr>
      <w:r>
        <w:rPr>
          <w:rFonts w:eastAsia="等线" w:ascii="Arial" w:cs="Arial" w:hAnsi="Arial"/>
          <w:b w:val="true"/>
          <w:sz w:val="22"/>
        </w:rPr>
        <w:t>无需额外硬件投入</w:t>
      </w:r>
      <w:r>
        <w:rPr>
          <w:rFonts w:eastAsia="等线" w:ascii="Arial" w:cs="Arial" w:hAnsi="Arial"/>
          <w:sz w:val="22"/>
        </w:rPr>
        <w:t>：热点调度策略通过优化调度算法实现资源均衡，不需要增加物理资源，降低了实施成本。</w:t>
      </w:r>
    </w:p>
    <w:p>
      <w:pPr>
        <w:numPr>
          <w:numId w:val="47"/>
        </w:numPr>
        <w:spacing w:before="120" w:after="120" w:line="288" w:lineRule="auto"/>
        <w:ind w:left="0"/>
        <w:jc w:val="left"/>
      </w:pPr>
      <w:r>
        <w:rPr>
          <w:rFonts w:eastAsia="等线" w:ascii="Arial" w:cs="Arial" w:hAnsi="Arial"/>
          <w:b w:val="true"/>
          <w:sz w:val="22"/>
        </w:rPr>
        <w:t>调度算法易于实现与部署</w:t>
      </w:r>
      <w:r>
        <w:rPr>
          <w:rFonts w:eastAsia="等线" w:ascii="Arial" w:cs="Arial" w:hAnsi="Arial"/>
          <w:sz w:val="22"/>
        </w:rPr>
        <w:t>：热点调度策略基于现有调度框架，只需在排序过程中引入机器分级机制，实现简单，部署方便。</w:t>
      </w:r>
    </w:p>
    <w:p>
      <w:pPr>
        <w:numPr>
          <w:numId w:val="48"/>
        </w:numPr>
        <w:spacing w:before="120" w:after="120" w:line="288" w:lineRule="auto"/>
        <w:ind w:left="0"/>
        <w:jc w:val="left"/>
      </w:pPr>
      <w:r>
        <w:rPr>
          <w:rFonts w:eastAsia="等线" w:ascii="Arial" w:cs="Arial" w:hAnsi="Arial"/>
          <w:b w:val="true"/>
          <w:sz w:val="22"/>
        </w:rPr>
        <w:t>对现有系统侵入性小</w:t>
      </w:r>
      <w:r>
        <w:rPr>
          <w:rFonts w:eastAsia="等线" w:ascii="Arial" w:cs="Arial" w:hAnsi="Arial"/>
          <w:sz w:val="22"/>
        </w:rPr>
        <w:t>：热点调度策略通过在排序过程中将机器分为三档，尽量减少对现有系统的侵入，降低了实施风险。</w:t>
      </w:r>
    </w:p>
    <w:p>
      <w:pPr>
        <w:numPr>
          <w:numId w:val="49"/>
        </w:numPr>
        <w:spacing w:before="120" w:after="120" w:line="288" w:lineRule="auto"/>
        <w:ind w:left="0"/>
        <w:jc w:val="left"/>
      </w:pPr>
      <w:r>
        <w:rPr>
          <w:rFonts w:eastAsia="等线" w:ascii="Arial" w:cs="Arial" w:hAnsi="Arial"/>
          <w:b w:val="true"/>
          <w:sz w:val="22"/>
        </w:rPr>
        <w:t>效果可预测性强</w:t>
      </w:r>
      <w:r>
        <w:rPr>
          <w:rFonts w:eastAsia="等线" w:ascii="Arial" w:cs="Arial" w:hAnsi="Arial"/>
          <w:sz w:val="22"/>
        </w:rPr>
        <w:t>：热点调度策略的效果主要取决于特征值计算和机器分级机制，这些机制的行为是确定的，效果可预测。</w:t>
      </w:r>
    </w:p>
    <w:p>
      <w:pPr>
        <w:numPr>
          <w:numId w:val="50"/>
        </w:numPr>
        <w:spacing w:before="120" w:after="120" w:line="288" w:lineRule="auto"/>
        <w:ind w:left="0"/>
        <w:jc w:val="left"/>
      </w:pPr>
      <w:r>
        <w:rPr>
          <w:rFonts w:eastAsia="等线" w:ascii="Arial" w:cs="Arial" w:hAnsi="Arial"/>
          <w:b w:val="true"/>
          <w:sz w:val="22"/>
        </w:rPr>
        <w:t>适应性强</w:t>
      </w:r>
      <w:r>
        <w:rPr>
          <w:rFonts w:eastAsia="等线" w:ascii="Arial" w:cs="Arial" w:hAnsi="Arial"/>
          <w:sz w:val="22"/>
        </w:rPr>
        <w:t>：热点调度策略可以根据集群状态动态调整特征值计算参数，适应不同的负载情况。</w:t>
      </w:r>
    </w:p>
    <w:p>
      <w:pPr>
        <w:pStyle w:val="4"/>
        <w:spacing w:before="260" w:after="120" w:line="288" w:lineRule="auto"/>
        <w:ind w:left="0"/>
        <w:jc w:val="left"/>
        <w:outlineLvl w:val="3"/>
      </w:pPr>
      <w:bookmarkStart w:name="heading_27" w:id="27"/>
      <w:r>
        <w:rPr>
          <w:rFonts w:eastAsia="等线" w:ascii="Arial" w:cs="Arial" w:hAnsi="Arial"/>
          <w:b w:val="true"/>
          <w:sz w:val="28"/>
        </w:rPr>
        <w:t>4</w:t>
      </w:r>
      <w:r>
        <w:rPr>
          <w:rFonts w:eastAsia="等线" w:ascii="Arial" w:cs="Arial" w:hAnsi="Arial"/>
          <w:b w:val="true"/>
          <w:sz w:val="28"/>
        </w:rPr>
        <w:t>.1.2 资源超售方法的优势</w:t>
      </w:r>
      <w:bookmarkEnd w:id="27"/>
    </w:p>
    <w:p>
      <w:pPr>
        <w:spacing w:before="120" w:after="120" w:line="288" w:lineRule="auto"/>
        <w:ind w:left="0"/>
        <w:jc w:val="left"/>
      </w:pPr>
      <w:r>
        <w:rPr>
          <w:rFonts w:eastAsia="等线" w:ascii="Arial" w:cs="Arial" w:hAnsi="Arial"/>
          <w:sz w:val="22"/>
        </w:rPr>
        <w:t>资源超售方法具有以下优势：</w:t>
      </w:r>
    </w:p>
    <w:p>
      <w:pPr>
        <w:numPr>
          <w:numId w:val="51"/>
        </w:numPr>
        <w:spacing w:before="120" w:after="120" w:line="288" w:lineRule="auto"/>
        <w:ind w:left="0"/>
        <w:jc w:val="left"/>
      </w:pPr>
      <w:r>
        <w:rPr>
          <w:rFonts w:eastAsia="等线" w:ascii="Arial" w:cs="Arial" w:hAnsi="Arial"/>
          <w:b w:val="true"/>
          <w:sz w:val="22"/>
        </w:rPr>
        <w:t>充分利用闲置资源</w:t>
      </w:r>
      <w:r>
        <w:rPr>
          <w:rFonts w:eastAsia="等线" w:ascii="Arial" w:cs="Arial" w:hAnsi="Arial"/>
          <w:sz w:val="22"/>
        </w:rPr>
        <w:t>：通过回收未使用资源进行二次分配，充分利用了闲置资源，提高了资源利用率。</w:t>
      </w:r>
    </w:p>
    <w:p>
      <w:pPr>
        <w:numPr>
          <w:numId w:val="52"/>
        </w:numPr>
        <w:spacing w:before="120" w:after="120" w:line="288" w:lineRule="auto"/>
        <w:ind w:left="0"/>
        <w:jc w:val="left"/>
      </w:pPr>
      <w:r>
        <w:rPr>
          <w:rFonts w:eastAsia="等线" w:ascii="Arial" w:cs="Arial" w:hAnsi="Arial"/>
          <w:b w:val="true"/>
          <w:sz w:val="22"/>
        </w:rPr>
        <w:t>静态比例模型简单高效</w:t>
      </w:r>
      <w:r>
        <w:rPr>
          <w:rFonts w:eastAsia="等线" w:ascii="Arial" w:cs="Arial" w:hAnsi="Arial"/>
          <w:sz w:val="22"/>
        </w:rPr>
        <w:t>：实现简单，计算效率高，适合大规模集群环境。</w:t>
      </w:r>
    </w:p>
    <w:p>
      <w:pPr>
        <w:numPr>
          <w:numId w:val="53"/>
        </w:numPr>
        <w:spacing w:before="120" w:after="120" w:line="288" w:lineRule="auto"/>
        <w:ind w:left="0"/>
        <w:jc w:val="left"/>
      </w:pPr>
      <w:r>
        <w:rPr>
          <w:rFonts w:eastAsia="等线" w:ascii="Arial" w:cs="Arial" w:hAnsi="Arial"/>
          <w:b w:val="true"/>
          <w:sz w:val="22"/>
        </w:rPr>
        <w:t>配置灵活，可按需调整</w:t>
      </w:r>
      <w:r>
        <w:rPr>
          <w:rFonts w:eastAsia="等线" w:ascii="Arial" w:cs="Arial" w:hAnsi="Arial"/>
          <w:sz w:val="22"/>
        </w:rPr>
        <w:t>：可以根据不同集群、不同业务的需求，灵活调整超售比例，实现个性化配置。</w:t>
      </w:r>
    </w:p>
    <w:p>
      <w:pPr>
        <w:numPr>
          <w:numId w:val="54"/>
        </w:numPr>
        <w:spacing w:before="120" w:after="120" w:line="288" w:lineRule="auto"/>
        <w:ind w:left="0"/>
        <w:jc w:val="left"/>
      </w:pPr>
      <w:r>
        <w:rPr>
          <w:rFonts w:eastAsia="等线" w:ascii="Arial" w:cs="Arial" w:hAnsi="Arial"/>
          <w:b w:val="true"/>
          <w:sz w:val="22"/>
        </w:rPr>
        <w:t>风险可控</w:t>
      </w:r>
      <w:r>
        <w:rPr>
          <w:rFonts w:eastAsia="等线" w:ascii="Arial" w:cs="Arial" w:hAnsi="Arial"/>
          <w:sz w:val="22"/>
        </w:rPr>
        <w:t>：通过热点治理机制控制超售风险，在提高资源利用率的同时保障系统稳定性和服务质量。</w:t>
      </w:r>
    </w:p>
    <w:p>
      <w:pPr>
        <w:numPr>
          <w:numId w:val="55"/>
        </w:numPr>
        <w:spacing w:before="120" w:after="120" w:line="288" w:lineRule="auto"/>
        <w:ind w:left="0"/>
        <w:jc w:val="left"/>
      </w:pPr>
      <w:r>
        <w:rPr>
          <w:rFonts w:eastAsia="等线" w:ascii="Arial" w:cs="Arial" w:hAnsi="Arial"/>
          <w:b w:val="true"/>
          <w:sz w:val="22"/>
        </w:rPr>
        <w:t>实施成本低</w:t>
      </w:r>
      <w:r>
        <w:rPr>
          <w:rFonts w:eastAsia="等线" w:ascii="Arial" w:cs="Arial" w:hAnsi="Arial"/>
          <w:sz w:val="22"/>
        </w:rPr>
        <w:t>：主要涉及资源视图的调整，实施成本低，回报周期短。</w:t>
      </w:r>
    </w:p>
    <w:p>
      <w:pPr>
        <w:pStyle w:val="4"/>
        <w:spacing w:before="260" w:after="120" w:line="288" w:lineRule="auto"/>
        <w:ind w:left="0"/>
        <w:jc w:val="left"/>
        <w:outlineLvl w:val="3"/>
      </w:pPr>
      <w:bookmarkStart w:name="heading_28" w:id="28"/>
      <w:r>
        <w:rPr>
          <w:rFonts w:eastAsia="等线" w:ascii="Arial" w:cs="Arial" w:hAnsi="Arial"/>
          <w:b w:val="true"/>
          <w:sz w:val="28"/>
        </w:rPr>
        <w:t>4</w:t>
      </w:r>
      <w:r>
        <w:rPr>
          <w:rFonts w:eastAsia="等线" w:ascii="Arial" w:cs="Arial" w:hAnsi="Arial"/>
          <w:b w:val="true"/>
          <w:sz w:val="28"/>
        </w:rPr>
        <w:t>.1.3 协同机制的优势</w:t>
      </w:r>
      <w:bookmarkEnd w:id="28"/>
    </w:p>
    <w:p>
      <w:pPr>
        <w:spacing w:before="120" w:after="120" w:line="288" w:lineRule="auto"/>
        <w:ind w:left="0"/>
        <w:jc w:val="left"/>
      </w:pPr>
      <w:r>
        <w:rPr>
          <w:rFonts w:eastAsia="等线" w:ascii="Arial" w:cs="Arial" w:hAnsi="Arial"/>
          <w:sz w:val="22"/>
        </w:rPr>
        <w:t>热点调度策略和资源超售方法协同使用时，具有以下优势：</w:t>
      </w:r>
    </w:p>
    <w:p>
      <w:pPr>
        <w:numPr>
          <w:numId w:val="56"/>
        </w:numPr>
        <w:spacing w:before="120" w:after="120" w:line="288" w:lineRule="auto"/>
        <w:ind w:left="0"/>
        <w:jc w:val="left"/>
      </w:pPr>
      <w:r>
        <w:rPr>
          <w:rFonts w:eastAsia="等线" w:ascii="Arial" w:cs="Arial" w:hAnsi="Arial"/>
          <w:b w:val="true"/>
          <w:sz w:val="22"/>
        </w:rPr>
        <w:t>从分布均衡与整体利用率两方面优化资源</w:t>
      </w:r>
      <w:r>
        <w:rPr>
          <w:rFonts w:eastAsia="等线" w:ascii="Arial" w:cs="Arial" w:hAnsi="Arial"/>
          <w:sz w:val="22"/>
        </w:rPr>
        <w:t>：协同机制同时关注资源分布均衡性和整体利用率，实现了资源管理的双重优化。</w:t>
      </w:r>
    </w:p>
    <w:p>
      <w:pPr>
        <w:numPr>
          <w:numId w:val="57"/>
        </w:numPr>
        <w:spacing w:before="120" w:after="120" w:line="288" w:lineRule="auto"/>
        <w:ind w:left="0"/>
        <w:jc w:val="left"/>
      </w:pPr>
      <w:r>
        <w:rPr>
          <w:rFonts w:eastAsia="等线" w:ascii="Arial" w:cs="Arial" w:hAnsi="Arial"/>
          <w:b w:val="true"/>
          <w:sz w:val="22"/>
        </w:rPr>
        <w:t>共享基础设施与数据，实现成本低</w:t>
      </w:r>
      <w:r>
        <w:rPr>
          <w:rFonts w:eastAsia="等线" w:ascii="Arial" w:cs="Arial" w:hAnsi="Arial"/>
          <w:sz w:val="22"/>
        </w:rPr>
        <w:t>：两种方法共享服务画像、</w:t>
      </w:r>
      <w:r>
        <w:rPr>
          <w:rFonts w:eastAsia="等线" w:ascii="Arial" w:cs="Arial" w:hAnsi="Arial"/>
          <w:sz w:val="22"/>
        </w:rPr>
        <w:t>容器服务特征值管理服务</w:t>
      </w:r>
      <w:r>
        <w:rPr>
          <w:rFonts w:eastAsia="等线" w:ascii="Arial" w:cs="Arial" w:hAnsi="Arial"/>
          <w:sz w:val="22"/>
        </w:rPr>
        <w:t>与</w:t>
      </w:r>
      <w:r>
        <w:rPr>
          <w:rFonts w:eastAsia="等线" w:ascii="Arial" w:cs="Arial" w:hAnsi="Arial"/>
          <w:sz w:val="22"/>
        </w:rPr>
        <w:t>Scheduler</w:t>
      </w:r>
      <w:r>
        <w:rPr>
          <w:rFonts w:eastAsia="等线" w:ascii="Arial" w:cs="Arial" w:hAnsi="Arial"/>
          <w:sz w:val="22"/>
        </w:rPr>
        <w:t>协同工作机制等基础设施和数据，降低了实现成本。</w:t>
      </w:r>
    </w:p>
    <w:p>
      <w:pPr>
        <w:numPr>
          <w:numId w:val="58"/>
        </w:numPr>
        <w:spacing w:before="120" w:after="120" w:line="288" w:lineRule="auto"/>
        <w:ind w:left="0"/>
        <w:jc w:val="left"/>
      </w:pPr>
      <w:r>
        <w:rPr>
          <w:rFonts w:eastAsia="等线" w:ascii="Arial" w:cs="Arial" w:hAnsi="Arial"/>
          <w:b w:val="true"/>
          <w:sz w:val="22"/>
        </w:rPr>
        <w:t>互为补充，形成完整解决方案</w:t>
      </w:r>
      <w:r>
        <w:rPr>
          <w:rFonts w:eastAsia="等线" w:ascii="Arial" w:cs="Arial" w:hAnsi="Arial"/>
          <w:sz w:val="22"/>
        </w:rPr>
        <w:t>：热点调度解决资源分布均衡性问题，资源超售解决整体利用率问题，两者互为补充，形成了更完整的资源管理解决方案。</w:t>
      </w:r>
    </w:p>
    <w:p>
      <w:pPr>
        <w:numPr>
          <w:numId w:val="59"/>
        </w:numPr>
        <w:spacing w:before="120" w:after="120" w:line="288" w:lineRule="auto"/>
        <w:ind w:left="0"/>
        <w:jc w:val="left"/>
      </w:pPr>
      <w:r>
        <w:rPr>
          <w:rFonts w:eastAsia="等线" w:ascii="Arial" w:cs="Arial" w:hAnsi="Arial"/>
          <w:b w:val="true"/>
          <w:sz w:val="22"/>
        </w:rPr>
        <w:t>风险对冲</w:t>
      </w:r>
      <w:r>
        <w:rPr>
          <w:rFonts w:eastAsia="等线" w:ascii="Arial" w:cs="Arial" w:hAnsi="Arial"/>
          <w:sz w:val="22"/>
        </w:rPr>
        <w:t>：热点调度策略可以缓解资源超售带来的热点风险，两种方法协同使用时具有风险对冲效应，提高了系统稳定性。</w:t>
      </w:r>
    </w:p>
    <w:p>
      <w:pPr>
        <w:numPr>
          <w:numId w:val="60"/>
        </w:numPr>
        <w:spacing w:before="120" w:after="120" w:line="288" w:lineRule="auto"/>
        <w:ind w:left="0"/>
        <w:jc w:val="left"/>
      </w:pPr>
      <w:r>
        <w:rPr>
          <w:rFonts w:eastAsia="等线" w:ascii="Arial" w:cs="Arial" w:hAnsi="Arial"/>
          <w:b w:val="true"/>
          <w:sz w:val="22"/>
        </w:rPr>
        <w:t>灵活适应不同场景</w:t>
      </w:r>
      <w:r>
        <w:rPr>
          <w:rFonts w:eastAsia="等线" w:ascii="Arial" w:cs="Arial" w:hAnsi="Arial"/>
          <w:sz w:val="22"/>
        </w:rPr>
        <w:t>：协同机制可以根据不同场景动态调整两种策略的权重，具有更强的适应性。</w:t>
      </w:r>
    </w:p>
    <w:p>
      <w:pPr>
        <w:pStyle w:val="3"/>
        <w:spacing w:before="300" w:after="120" w:line="288" w:lineRule="auto"/>
        <w:ind w:left="0"/>
        <w:jc w:val="left"/>
        <w:outlineLvl w:val="2"/>
      </w:pPr>
      <w:bookmarkStart w:name="heading_29" w:id="29"/>
      <w:r>
        <w:rPr>
          <w:rFonts w:eastAsia="等线" w:ascii="Arial" w:cs="Arial" w:hAnsi="Arial"/>
          <w:b w:val="true"/>
          <w:sz w:val="30"/>
        </w:rPr>
        <w:t>4</w:t>
      </w:r>
      <w:r>
        <w:rPr>
          <w:rFonts w:eastAsia="等线" w:ascii="Arial" w:cs="Arial" w:hAnsi="Arial"/>
          <w:b w:val="true"/>
          <w:sz w:val="30"/>
        </w:rPr>
        <w:t>.2 局限性</w:t>
      </w:r>
      <w:bookmarkEnd w:id="29"/>
    </w:p>
    <w:p>
      <w:pPr>
        <w:pStyle w:val="4"/>
        <w:spacing w:before="260" w:after="120" w:line="288" w:lineRule="auto"/>
        <w:ind w:left="0"/>
        <w:jc w:val="left"/>
        <w:outlineLvl w:val="3"/>
      </w:pPr>
      <w:bookmarkStart w:name="heading_30" w:id="30"/>
      <w:r>
        <w:rPr>
          <w:rFonts w:eastAsia="等线" w:ascii="Arial" w:cs="Arial" w:hAnsi="Arial"/>
          <w:b w:val="true"/>
          <w:sz w:val="28"/>
        </w:rPr>
        <w:t>4</w:t>
      </w:r>
      <w:r>
        <w:rPr>
          <w:rFonts w:eastAsia="等线" w:ascii="Arial" w:cs="Arial" w:hAnsi="Arial"/>
          <w:b w:val="true"/>
          <w:sz w:val="28"/>
        </w:rPr>
        <w:t>.2.1 热点调度策略的局限</w:t>
      </w:r>
      <w:bookmarkEnd w:id="30"/>
    </w:p>
    <w:p>
      <w:pPr>
        <w:spacing w:before="120" w:after="120" w:line="288" w:lineRule="auto"/>
        <w:ind w:left="0"/>
        <w:jc w:val="left"/>
      </w:pPr>
      <w:r>
        <w:rPr>
          <w:rFonts w:eastAsia="等线" w:ascii="Arial" w:cs="Arial" w:hAnsi="Arial"/>
          <w:sz w:val="22"/>
        </w:rPr>
        <w:t>热点调度策略存在以下局限：</w:t>
      </w:r>
    </w:p>
    <w:p>
      <w:pPr>
        <w:numPr>
          <w:numId w:val="61"/>
        </w:numPr>
        <w:spacing w:before="120" w:after="120" w:line="288" w:lineRule="auto"/>
        <w:ind w:left="0"/>
        <w:jc w:val="left"/>
      </w:pPr>
      <w:r>
        <w:rPr>
          <w:rFonts w:eastAsia="等线" w:ascii="Arial" w:cs="Arial" w:hAnsi="Arial"/>
          <w:b w:val="true"/>
          <w:sz w:val="22"/>
        </w:rPr>
        <w:t>对历史数据依赖性强</w:t>
      </w:r>
      <w:r>
        <w:rPr>
          <w:rFonts w:eastAsia="等线" w:ascii="Arial" w:cs="Arial" w:hAnsi="Arial"/>
          <w:sz w:val="22"/>
        </w:rPr>
        <w:t>：热点调度策略通过服务画像计算特征值，对历史数据有较强依赖性，对于新服务或历史数据不足的服务，特征值计算可能不准确。</w:t>
      </w:r>
    </w:p>
    <w:p>
      <w:pPr>
        <w:numPr>
          <w:numId w:val="62"/>
        </w:numPr>
        <w:spacing w:before="120" w:after="120" w:line="288" w:lineRule="auto"/>
        <w:ind w:left="0"/>
        <w:jc w:val="left"/>
      </w:pPr>
      <w:r>
        <w:rPr>
          <w:rFonts w:eastAsia="等线" w:ascii="Arial" w:cs="Arial" w:hAnsi="Arial"/>
          <w:b w:val="true"/>
          <w:sz w:val="22"/>
        </w:rPr>
        <w:t>新服务缺乏画像数据</w:t>
      </w:r>
      <w:r>
        <w:rPr>
          <w:rFonts w:eastAsia="等线" w:ascii="Arial" w:cs="Arial" w:hAnsi="Arial"/>
          <w:sz w:val="22"/>
        </w:rPr>
        <w:t>：新上线的服务缺乏历史数据，无法准确计算特征值，可能导致调度决策不准确。</w:t>
      </w:r>
    </w:p>
    <w:p>
      <w:pPr>
        <w:numPr>
          <w:numId w:val="63"/>
        </w:numPr>
        <w:spacing w:before="120" w:after="120" w:line="288" w:lineRule="auto"/>
        <w:ind w:left="0"/>
        <w:jc w:val="left"/>
      </w:pPr>
      <w:r>
        <w:rPr>
          <w:rFonts w:eastAsia="等线" w:ascii="Arial" w:cs="Arial" w:hAnsi="Arial"/>
          <w:b w:val="true"/>
          <w:sz w:val="22"/>
        </w:rPr>
        <w:t>调度算法复杂度增加</w:t>
      </w:r>
      <w:r>
        <w:rPr>
          <w:rFonts w:eastAsia="等线" w:ascii="Arial" w:cs="Arial" w:hAnsi="Arial"/>
          <w:sz w:val="22"/>
        </w:rPr>
        <w:t>：引入特征值计算和机器分级机制增加了调度算法的复杂度，可能影响调度效率。</w:t>
      </w:r>
    </w:p>
    <w:p>
      <w:pPr>
        <w:numPr>
          <w:numId w:val="64"/>
        </w:numPr>
        <w:spacing w:before="120" w:after="120" w:line="288" w:lineRule="auto"/>
        <w:ind w:left="0"/>
        <w:jc w:val="left"/>
      </w:pPr>
      <w:r>
        <w:rPr>
          <w:rFonts w:eastAsia="等线" w:ascii="Arial" w:cs="Arial" w:hAnsi="Arial"/>
          <w:b w:val="true"/>
          <w:sz w:val="22"/>
        </w:rPr>
        <w:t>参数调优难度大</w:t>
      </w:r>
      <w:r>
        <w:rPr>
          <w:rFonts w:eastAsia="等线" w:ascii="Arial" w:cs="Arial" w:hAnsi="Arial"/>
          <w:sz w:val="22"/>
        </w:rPr>
        <w:t>：特征值计算中的参数（如阈值δ）需要根据集群状态进行调优，调优过程复杂，需要专业知识。</w:t>
      </w:r>
    </w:p>
    <w:p>
      <w:pPr>
        <w:numPr>
          <w:numId w:val="65"/>
        </w:numPr>
        <w:spacing w:before="120" w:after="120" w:line="288" w:lineRule="auto"/>
        <w:ind w:left="0"/>
        <w:jc w:val="left"/>
      </w:pPr>
      <w:r>
        <w:rPr>
          <w:rFonts w:eastAsia="等线" w:ascii="Arial" w:cs="Arial" w:hAnsi="Arial"/>
          <w:b w:val="true"/>
          <w:sz w:val="22"/>
        </w:rPr>
        <w:t>可能导致资源碎片化</w:t>
      </w:r>
      <w:r>
        <w:rPr>
          <w:rFonts w:eastAsia="等线" w:ascii="Arial" w:cs="Arial" w:hAnsi="Arial"/>
          <w:sz w:val="22"/>
        </w:rPr>
        <w:t>：过度追求负载均衡可能导致资源碎片化，降低大规模任务的调度成功率。</w:t>
      </w:r>
    </w:p>
    <w:p>
      <w:pPr>
        <w:pStyle w:val="4"/>
        <w:spacing w:before="260" w:after="120" w:line="288" w:lineRule="auto"/>
        <w:ind w:left="0"/>
        <w:jc w:val="left"/>
        <w:outlineLvl w:val="3"/>
      </w:pPr>
      <w:bookmarkStart w:name="heading_31" w:id="31"/>
      <w:r>
        <w:rPr>
          <w:rFonts w:eastAsia="等线" w:ascii="Arial" w:cs="Arial" w:hAnsi="Arial"/>
          <w:b w:val="true"/>
          <w:sz w:val="28"/>
        </w:rPr>
        <w:t>4</w:t>
      </w:r>
      <w:r>
        <w:rPr>
          <w:rFonts w:eastAsia="等线" w:ascii="Arial" w:cs="Arial" w:hAnsi="Arial"/>
          <w:b w:val="true"/>
          <w:sz w:val="28"/>
        </w:rPr>
        <w:t>.2.2 资源超售方法的局限</w:t>
      </w:r>
      <w:bookmarkEnd w:id="31"/>
    </w:p>
    <w:p>
      <w:pPr>
        <w:spacing w:before="120" w:after="120" w:line="288" w:lineRule="auto"/>
        <w:ind w:left="0"/>
        <w:jc w:val="left"/>
      </w:pPr>
      <w:r>
        <w:rPr>
          <w:rFonts w:eastAsia="等线" w:ascii="Arial" w:cs="Arial" w:hAnsi="Arial"/>
          <w:sz w:val="22"/>
        </w:rPr>
        <w:t>资源超售方法存在以下局限：</w:t>
      </w:r>
    </w:p>
    <w:p>
      <w:pPr>
        <w:numPr>
          <w:numId w:val="66"/>
        </w:numPr>
        <w:spacing w:before="120" w:after="120" w:line="288" w:lineRule="auto"/>
        <w:ind w:left="0"/>
        <w:jc w:val="left"/>
      </w:pPr>
      <w:r>
        <w:rPr>
          <w:rFonts w:eastAsia="等线" w:ascii="Arial" w:cs="Arial" w:hAnsi="Arial"/>
          <w:b w:val="true"/>
          <w:sz w:val="22"/>
        </w:rPr>
        <w:t>静态比例模型精度有限</w:t>
      </w:r>
      <w:r>
        <w:rPr>
          <w:rFonts w:eastAsia="等线" w:ascii="Arial" w:cs="Arial" w:hAnsi="Arial"/>
          <w:sz w:val="22"/>
        </w:rPr>
        <w:t>：静态比例模型简化了计算，但精度有限，可能无法准确反映实际资源使用情况。</w:t>
      </w:r>
    </w:p>
    <w:p>
      <w:pPr>
        <w:numPr>
          <w:numId w:val="67"/>
        </w:numPr>
        <w:spacing w:before="120" w:after="120" w:line="288" w:lineRule="auto"/>
        <w:ind w:left="0"/>
        <w:jc w:val="left"/>
      </w:pPr>
      <w:r>
        <w:rPr>
          <w:rFonts w:eastAsia="等线" w:ascii="Arial" w:cs="Arial" w:hAnsi="Arial"/>
          <w:b w:val="true"/>
          <w:sz w:val="22"/>
        </w:rPr>
        <w:t>超售比例设定需谨慎</w:t>
      </w:r>
      <w:r>
        <w:rPr>
          <w:rFonts w:eastAsia="等线" w:ascii="Arial" w:cs="Arial" w:hAnsi="Arial"/>
          <w:sz w:val="22"/>
        </w:rPr>
        <w:t>：超售比例设定过高可能导致热点问题，设定过低则效果有限，需要谨慎设定。</w:t>
      </w:r>
    </w:p>
    <w:p>
      <w:pPr>
        <w:numPr>
          <w:numId w:val="68"/>
        </w:numPr>
        <w:spacing w:before="120" w:after="120" w:line="288" w:lineRule="auto"/>
        <w:ind w:left="0"/>
        <w:jc w:val="left"/>
      </w:pPr>
      <w:r>
        <w:rPr>
          <w:rFonts w:eastAsia="等线" w:ascii="Arial" w:cs="Arial" w:hAnsi="Arial"/>
          <w:b w:val="true"/>
          <w:sz w:val="22"/>
        </w:rPr>
        <w:t>热点风险增加</w:t>
      </w:r>
      <w:r>
        <w:rPr>
          <w:rFonts w:eastAsia="等线" w:ascii="Arial" w:cs="Arial" w:hAnsi="Arial"/>
          <w:sz w:val="22"/>
        </w:rPr>
        <w:t>：资源超售增加了系统资源竞争，可能导致热点问题更加严重，需要有效的热点治理机制。</w:t>
      </w:r>
    </w:p>
    <w:p>
      <w:pPr>
        <w:numPr>
          <w:numId w:val="69"/>
        </w:numPr>
        <w:spacing w:before="120" w:after="120" w:line="288" w:lineRule="auto"/>
        <w:ind w:left="0"/>
        <w:jc w:val="left"/>
      </w:pPr>
      <w:r>
        <w:rPr>
          <w:rFonts w:eastAsia="等线" w:ascii="Arial" w:cs="Arial" w:hAnsi="Arial"/>
          <w:b w:val="true"/>
          <w:sz w:val="22"/>
        </w:rPr>
        <w:t>不适用于所有资源类型</w:t>
      </w:r>
      <w:r>
        <w:rPr>
          <w:rFonts w:eastAsia="等线" w:ascii="Arial" w:cs="Arial" w:hAnsi="Arial"/>
          <w:sz w:val="22"/>
        </w:rPr>
        <w:t>：资源超售主要适用于CPU、内存等可超发资源，对于磁盘、GPU等不可超发资源效果有限。</w:t>
      </w:r>
    </w:p>
    <w:p>
      <w:pPr>
        <w:numPr>
          <w:numId w:val="70"/>
        </w:numPr>
        <w:spacing w:before="120" w:after="120" w:line="288" w:lineRule="auto"/>
        <w:ind w:left="0"/>
        <w:jc w:val="left"/>
      </w:pPr>
      <w:r>
        <w:rPr>
          <w:rFonts w:eastAsia="等线" w:ascii="Arial" w:cs="Arial" w:hAnsi="Arial"/>
          <w:b w:val="true"/>
          <w:sz w:val="22"/>
        </w:rPr>
        <w:t>服务质量保障难度增加</w:t>
      </w:r>
      <w:r>
        <w:rPr>
          <w:rFonts w:eastAsia="等线" w:ascii="Arial" w:cs="Arial" w:hAnsi="Arial"/>
          <w:sz w:val="22"/>
        </w:rPr>
        <w:t>：资源超售环境下，服务质量保障难度增加，需要更复杂的监控和调整机制。</w:t>
      </w:r>
    </w:p>
    <w:p>
      <w:pPr>
        <w:pStyle w:val="4"/>
        <w:spacing w:before="260" w:after="120" w:line="288" w:lineRule="auto"/>
        <w:ind w:left="0"/>
        <w:jc w:val="left"/>
        <w:outlineLvl w:val="3"/>
      </w:pPr>
      <w:bookmarkStart w:name="heading_32" w:id="32"/>
      <w:r>
        <w:rPr>
          <w:rFonts w:eastAsia="等线" w:ascii="Arial" w:cs="Arial" w:hAnsi="Arial"/>
          <w:b w:val="true"/>
          <w:sz w:val="28"/>
        </w:rPr>
        <w:t>4</w:t>
      </w:r>
      <w:r>
        <w:rPr>
          <w:rFonts w:eastAsia="等线" w:ascii="Arial" w:cs="Arial" w:hAnsi="Arial"/>
          <w:b w:val="true"/>
          <w:sz w:val="28"/>
        </w:rPr>
        <w:t>.2.3 协同机制的局限</w:t>
      </w:r>
      <w:bookmarkEnd w:id="32"/>
    </w:p>
    <w:p>
      <w:pPr>
        <w:spacing w:before="120" w:after="120" w:line="288" w:lineRule="auto"/>
        <w:ind w:left="0"/>
        <w:jc w:val="left"/>
      </w:pPr>
      <w:r>
        <w:rPr>
          <w:rFonts w:eastAsia="等线" w:ascii="Arial" w:cs="Arial" w:hAnsi="Arial"/>
          <w:sz w:val="22"/>
        </w:rPr>
        <w:t>热点调度策略和资源超售方法协同使用时，存在以下局限：</w:t>
      </w:r>
    </w:p>
    <w:p>
      <w:pPr>
        <w:numPr>
          <w:numId w:val="71"/>
        </w:numPr>
        <w:spacing w:before="120" w:after="120" w:line="288" w:lineRule="auto"/>
        <w:ind w:left="0"/>
        <w:jc w:val="left"/>
      </w:pPr>
      <w:r>
        <w:rPr>
          <w:rFonts w:eastAsia="等线" w:ascii="Arial" w:cs="Arial" w:hAnsi="Arial"/>
          <w:b w:val="true"/>
          <w:sz w:val="22"/>
        </w:rPr>
        <w:t>系统复杂度增加</w:t>
      </w:r>
      <w:r>
        <w:rPr>
          <w:rFonts w:eastAsia="等线" w:ascii="Arial" w:cs="Arial" w:hAnsi="Arial"/>
          <w:sz w:val="22"/>
        </w:rPr>
        <w:t>：协同机制增加了系统复杂度，可能导致系统维护和故障诊断难度增加。</w:t>
      </w:r>
    </w:p>
    <w:p>
      <w:pPr>
        <w:numPr>
          <w:numId w:val="72"/>
        </w:numPr>
        <w:spacing w:before="120" w:after="120" w:line="288" w:lineRule="auto"/>
        <w:ind w:left="0"/>
        <w:jc w:val="left"/>
      </w:pPr>
      <w:r>
        <w:rPr>
          <w:rFonts w:eastAsia="等线" w:ascii="Arial" w:cs="Arial" w:hAnsi="Arial"/>
          <w:b w:val="true"/>
          <w:sz w:val="22"/>
        </w:rPr>
        <w:t>参数调优难度大</w:t>
      </w:r>
      <w:r>
        <w:rPr>
          <w:rFonts w:eastAsia="等线" w:ascii="Arial" w:cs="Arial" w:hAnsi="Arial"/>
          <w:sz w:val="22"/>
        </w:rPr>
        <w:t>：协同机制涉及多个参数，如特征值计算参数、超售比例等，参数调优难度大。</w:t>
      </w:r>
    </w:p>
    <w:p>
      <w:pPr>
        <w:numPr>
          <w:numId w:val="73"/>
        </w:numPr>
        <w:spacing w:before="120" w:after="120" w:line="288" w:lineRule="auto"/>
        <w:ind w:left="0"/>
        <w:jc w:val="left"/>
      </w:pPr>
      <w:r>
        <w:rPr>
          <w:rFonts w:eastAsia="等线" w:ascii="Arial" w:cs="Arial" w:hAnsi="Arial"/>
          <w:b w:val="true"/>
          <w:sz w:val="22"/>
        </w:rPr>
        <w:t>故障诊断复杂性提高</w:t>
      </w:r>
      <w:r>
        <w:rPr>
          <w:rFonts w:eastAsia="等线" w:ascii="Arial" w:cs="Arial" w:hAnsi="Arial"/>
          <w:sz w:val="22"/>
        </w:rPr>
        <w:t>：当系统出现问题时，由于热点调度和资源超售的交互作用，故障诊断复杂性提高。</w:t>
      </w:r>
    </w:p>
    <w:p>
      <w:pPr>
        <w:numPr>
          <w:numId w:val="74"/>
        </w:numPr>
        <w:spacing w:before="120" w:after="120" w:line="288" w:lineRule="auto"/>
        <w:ind w:left="0"/>
        <w:jc w:val="left"/>
      </w:pPr>
      <w:r>
        <w:rPr>
          <w:rFonts w:eastAsia="等线" w:ascii="Arial" w:cs="Arial" w:hAnsi="Arial"/>
          <w:b w:val="true"/>
          <w:sz w:val="22"/>
        </w:rPr>
        <w:t>可能存在策略冲突</w:t>
      </w:r>
      <w:r>
        <w:rPr>
          <w:rFonts w:eastAsia="等线" w:ascii="Arial" w:cs="Arial" w:hAnsi="Arial"/>
          <w:sz w:val="22"/>
        </w:rPr>
        <w:t>：在某些情况下，热点调度和资源超售的目标可能冲突，需要有效的冲突解决机制。</w:t>
      </w:r>
    </w:p>
    <w:p>
      <w:pPr>
        <w:numPr>
          <w:numId w:val="75"/>
        </w:numPr>
        <w:spacing w:before="120" w:after="120" w:line="288" w:lineRule="auto"/>
        <w:ind w:left="0"/>
        <w:jc w:val="left"/>
      </w:pPr>
      <w:r>
        <w:rPr>
          <w:rFonts w:eastAsia="等线" w:ascii="Arial" w:cs="Arial" w:hAnsi="Arial"/>
          <w:b w:val="true"/>
          <w:sz w:val="22"/>
        </w:rPr>
        <w:t>实施难度增加</w:t>
      </w:r>
      <w:r>
        <w:rPr>
          <w:rFonts w:eastAsia="等线" w:ascii="Arial" w:cs="Arial" w:hAnsi="Arial"/>
          <w:sz w:val="22"/>
        </w:rPr>
        <w:t>：协同机制的实施涉及多个系统组件的改动，实施难度增加，需要更谨慎的规划和测试。</w:t>
      </w:r>
    </w:p>
    <w:p>
      <w:pPr>
        <w:pStyle w:val="3"/>
        <w:spacing w:before="300" w:after="120" w:line="288" w:lineRule="auto"/>
        <w:ind w:left="0"/>
        <w:jc w:val="left"/>
        <w:outlineLvl w:val="2"/>
      </w:pPr>
      <w:bookmarkStart w:name="heading_33" w:id="33"/>
      <w:r>
        <w:rPr>
          <w:rFonts w:eastAsia="等线" w:ascii="Arial" w:cs="Arial" w:hAnsi="Arial"/>
          <w:b w:val="true"/>
          <w:sz w:val="30"/>
        </w:rPr>
        <w:t>4</w:t>
      </w:r>
      <w:r>
        <w:rPr>
          <w:rFonts w:eastAsia="等线" w:ascii="Arial" w:cs="Arial" w:hAnsi="Arial"/>
          <w:b w:val="true"/>
          <w:sz w:val="30"/>
        </w:rPr>
        <w:t>.3 实际应用考量</w:t>
      </w:r>
      <w:bookmarkEnd w:id="33"/>
    </w:p>
    <w:p>
      <w:pPr>
        <w:pStyle w:val="4"/>
        <w:spacing w:before="260" w:after="120" w:line="288" w:lineRule="auto"/>
        <w:ind w:left="0"/>
        <w:jc w:val="left"/>
        <w:outlineLvl w:val="3"/>
      </w:pPr>
      <w:bookmarkStart w:name="heading_34" w:id="34"/>
      <w:r>
        <w:rPr>
          <w:rFonts w:eastAsia="等线" w:ascii="Arial" w:cs="Arial" w:hAnsi="Arial"/>
          <w:b w:val="true"/>
          <w:sz w:val="28"/>
        </w:rPr>
        <w:t>4</w:t>
      </w:r>
      <w:r>
        <w:rPr>
          <w:rFonts w:eastAsia="等线" w:ascii="Arial" w:cs="Arial" w:hAnsi="Arial"/>
          <w:b w:val="true"/>
          <w:sz w:val="28"/>
        </w:rPr>
        <w:t>.3.1 灰度发布策略建议</w:t>
      </w:r>
      <w:bookmarkEnd w:id="34"/>
    </w:p>
    <w:p>
      <w:pPr>
        <w:spacing w:before="120" w:after="120" w:line="288" w:lineRule="auto"/>
        <w:ind w:left="0"/>
        <w:jc w:val="left"/>
      </w:pPr>
      <w:r>
        <w:rPr>
          <w:rFonts w:eastAsia="等线" w:ascii="Arial" w:cs="Arial" w:hAnsi="Arial"/>
          <w:sz w:val="22"/>
        </w:rPr>
        <w:t>在实际应用中，建议采用以下灰度发布策略：</w:t>
      </w:r>
    </w:p>
    <w:p>
      <w:pPr>
        <w:numPr>
          <w:numId w:val="76"/>
        </w:numPr>
        <w:spacing w:before="120" w:after="120" w:line="288" w:lineRule="auto"/>
        <w:ind w:left="0"/>
        <w:jc w:val="left"/>
      </w:pPr>
      <w:r>
        <w:rPr>
          <w:rFonts w:eastAsia="等线" w:ascii="Arial" w:cs="Arial" w:hAnsi="Arial"/>
          <w:b w:val="true"/>
          <w:sz w:val="22"/>
        </w:rPr>
        <w:t>选择适当的试点</w:t>
      </w:r>
      <w:r>
        <w:rPr>
          <w:rFonts w:eastAsia="等线" w:ascii="Arial" w:cs="Arial" w:hAnsi="Arial"/>
          <w:sz w:val="22"/>
        </w:rPr>
        <w:t>：选择资源充足、业务稳定的集群作为试点，降低风险。</w:t>
      </w:r>
    </w:p>
    <w:p>
      <w:pPr>
        <w:numPr>
          <w:numId w:val="77"/>
        </w:numPr>
        <w:spacing w:before="120" w:after="120" w:line="288" w:lineRule="auto"/>
        <w:ind w:left="0"/>
        <w:jc w:val="left"/>
      </w:pPr>
      <w:r>
        <w:rPr>
          <w:rFonts w:eastAsia="等线" w:ascii="Arial" w:cs="Arial" w:hAnsi="Arial"/>
          <w:b w:val="true"/>
          <w:sz w:val="22"/>
        </w:rPr>
        <w:t>分阶段实施</w:t>
      </w:r>
      <w:r>
        <w:rPr>
          <w:rFonts w:eastAsia="等线" w:ascii="Arial" w:cs="Arial" w:hAnsi="Arial"/>
          <w:sz w:val="22"/>
        </w:rPr>
        <w:t>：先实施热点调度策略，待效果稳定后再引入资源超售方法，最后实现两者的协同。</w:t>
      </w:r>
    </w:p>
    <w:p>
      <w:pPr>
        <w:numPr>
          <w:numId w:val="78"/>
        </w:numPr>
        <w:spacing w:before="120" w:after="120" w:line="288" w:lineRule="auto"/>
        <w:ind w:left="0"/>
        <w:jc w:val="left"/>
      </w:pPr>
      <w:r>
        <w:rPr>
          <w:rFonts w:eastAsia="等线" w:ascii="Arial" w:cs="Arial" w:hAnsi="Arial"/>
          <w:b w:val="true"/>
          <w:sz w:val="22"/>
        </w:rPr>
        <w:t>参数渐进调整</w:t>
      </w:r>
      <w:r>
        <w:rPr>
          <w:rFonts w:eastAsia="等线" w:ascii="Arial" w:cs="Arial" w:hAnsi="Arial"/>
          <w:sz w:val="22"/>
        </w:rPr>
        <w:t>：从保守参数开始，如较小的特征值阈值和较低的超售比例，然后根据效果逐步调整。</w:t>
      </w:r>
    </w:p>
    <w:p>
      <w:pPr>
        <w:numPr>
          <w:numId w:val="79"/>
        </w:numPr>
        <w:spacing w:before="120" w:after="120" w:line="288" w:lineRule="auto"/>
        <w:ind w:left="0"/>
        <w:jc w:val="left"/>
      </w:pPr>
      <w:r>
        <w:rPr>
          <w:rFonts w:eastAsia="等线" w:ascii="Arial" w:cs="Arial" w:hAnsi="Arial"/>
          <w:b w:val="true"/>
          <w:sz w:val="22"/>
        </w:rPr>
        <w:t>密切监控系统状态</w:t>
      </w:r>
      <w:r>
        <w:rPr>
          <w:rFonts w:eastAsia="等线" w:ascii="Arial" w:cs="Arial" w:hAnsi="Arial"/>
          <w:sz w:val="22"/>
        </w:rPr>
        <w:t>：在灰度过程中，密切监控系统状态，包括热点机器比例、资源利用率、服务质量等指标。</w:t>
      </w:r>
    </w:p>
    <w:p>
      <w:pPr>
        <w:numPr>
          <w:numId w:val="80"/>
        </w:numPr>
        <w:spacing w:before="120" w:after="120" w:line="288" w:lineRule="auto"/>
        <w:ind w:left="0"/>
        <w:jc w:val="left"/>
      </w:pPr>
      <w:r>
        <w:rPr>
          <w:rFonts w:eastAsia="等线" w:ascii="Arial" w:cs="Arial" w:hAnsi="Arial"/>
          <w:b w:val="true"/>
          <w:sz w:val="22"/>
        </w:rPr>
        <w:t>准备回滚方案</w:t>
      </w:r>
      <w:r>
        <w:rPr>
          <w:rFonts w:eastAsia="等线" w:ascii="Arial" w:cs="Arial" w:hAnsi="Arial"/>
          <w:sz w:val="22"/>
        </w:rPr>
        <w:t>：制定详细的回滚方案，在出现问题时能够快速回滚，降低风险。</w:t>
      </w:r>
    </w:p>
    <w:p>
      <w:pPr>
        <w:pStyle w:val="4"/>
        <w:spacing w:before="260" w:after="120" w:line="288" w:lineRule="auto"/>
        <w:ind w:left="0"/>
        <w:jc w:val="left"/>
        <w:outlineLvl w:val="3"/>
      </w:pPr>
      <w:bookmarkStart w:name="heading_35" w:id="35"/>
      <w:r>
        <w:rPr>
          <w:rFonts w:eastAsia="等线" w:ascii="Arial" w:cs="Arial" w:hAnsi="Arial"/>
          <w:b w:val="true"/>
          <w:sz w:val="28"/>
        </w:rPr>
        <w:t>4</w:t>
      </w:r>
      <w:r>
        <w:rPr>
          <w:rFonts w:eastAsia="等线" w:ascii="Arial" w:cs="Arial" w:hAnsi="Arial"/>
          <w:b w:val="true"/>
          <w:sz w:val="28"/>
        </w:rPr>
        <w:t>.3.2 参数调优指南</w:t>
      </w:r>
      <w:bookmarkEnd w:id="35"/>
    </w:p>
    <w:p>
      <w:pPr>
        <w:spacing w:before="120" w:after="120" w:line="288" w:lineRule="auto"/>
        <w:ind w:left="0"/>
        <w:jc w:val="left"/>
      </w:pPr>
      <w:r>
        <w:rPr>
          <w:rFonts w:eastAsia="等线" w:ascii="Arial" w:cs="Arial" w:hAnsi="Arial"/>
          <w:sz w:val="22"/>
        </w:rPr>
        <w:t>参数调优是实施过程中的关键环节，建议遵循以下指南：</w:t>
      </w:r>
    </w:p>
    <w:p>
      <w:pPr>
        <w:numPr>
          <w:numId w:val="81"/>
        </w:numPr>
        <w:spacing w:before="120" w:after="120" w:line="288" w:lineRule="auto"/>
        <w:ind w:left="0"/>
        <w:jc w:val="left"/>
      </w:pPr>
      <w:r>
        <w:rPr>
          <w:rFonts w:eastAsia="等线" w:ascii="Arial" w:cs="Arial" w:hAnsi="Arial"/>
          <w:b w:val="true"/>
          <w:sz w:val="22"/>
        </w:rPr>
        <w:t>特征值阈值δ调优</w:t>
      </w:r>
      <w:r>
        <w:rPr>
          <w:rFonts w:eastAsia="等线" w:ascii="Arial" w:cs="Arial" w:hAnsi="Arial"/>
          <w:sz w:val="22"/>
        </w:rPr>
        <w:t>：根据集群负载分布情况调整δ值，负载分布越均匀，δ值可以设置越小；负载分布越不均匀，δ值应设置越大。</w:t>
      </w:r>
    </w:p>
    <w:p>
      <w:pPr>
        <w:numPr>
          <w:numId w:val="82"/>
        </w:numPr>
        <w:spacing w:before="120" w:after="120" w:line="288" w:lineRule="auto"/>
        <w:ind w:left="0"/>
        <w:jc w:val="left"/>
      </w:pPr>
      <w:r>
        <w:rPr>
          <w:rFonts w:eastAsia="等线" w:ascii="Arial" w:cs="Arial" w:hAnsi="Arial"/>
          <w:b w:val="true"/>
          <w:sz w:val="22"/>
        </w:rPr>
        <w:t>超售比例β调优</w:t>
      </w:r>
      <w:r>
        <w:rPr>
          <w:rFonts w:eastAsia="等线" w:ascii="Arial" w:cs="Arial" w:hAnsi="Arial"/>
          <w:sz w:val="22"/>
        </w:rPr>
        <w:t>：根据集群资源使用情况调整β值，资源使用率越低，β值可以设置越大；资源使用率越高，β值应设置越小。</w:t>
      </w:r>
    </w:p>
    <w:p>
      <w:pPr>
        <w:numPr>
          <w:numId w:val="83"/>
        </w:numPr>
        <w:spacing w:before="120" w:after="120" w:line="288" w:lineRule="auto"/>
        <w:ind w:left="0"/>
        <w:jc w:val="left"/>
      </w:pPr>
      <w:r>
        <w:rPr>
          <w:rFonts w:eastAsia="等线" w:ascii="Arial" w:cs="Arial" w:hAnsi="Arial"/>
          <w:b w:val="true"/>
          <w:sz w:val="22"/>
        </w:rPr>
        <w:t>热点阈值调优</w:t>
      </w:r>
      <w:r>
        <w:rPr>
          <w:rFonts w:eastAsia="等线" w:ascii="Arial" w:cs="Arial" w:hAnsi="Arial"/>
          <w:sz w:val="22"/>
        </w:rPr>
        <w:t>：根据业务对资源的敏感度调整热点阈值，敏感业务的热点阈值应设置较低，以提供更好的服务质量保障。</w:t>
      </w:r>
    </w:p>
    <w:p>
      <w:pPr>
        <w:numPr>
          <w:numId w:val="84"/>
        </w:numPr>
        <w:spacing w:before="120" w:after="120" w:line="288" w:lineRule="auto"/>
        <w:ind w:left="0"/>
        <w:jc w:val="left"/>
      </w:pPr>
      <w:r>
        <w:rPr>
          <w:rFonts w:eastAsia="等线" w:ascii="Arial" w:cs="Arial" w:hAnsi="Arial"/>
          <w:b w:val="true"/>
          <w:sz w:val="22"/>
        </w:rPr>
        <w:t>参数联动调整</w:t>
      </w:r>
      <w:r>
        <w:rPr>
          <w:rFonts w:eastAsia="等线" w:ascii="Arial" w:cs="Arial" w:hAnsi="Arial"/>
          <w:sz w:val="22"/>
        </w:rPr>
        <w:t>：考虑参数之间的联动关系，如超售比例增加时，可能需要降低特征值阈值，以加强热点控制。</w:t>
      </w:r>
    </w:p>
    <w:p>
      <w:pPr>
        <w:numPr>
          <w:numId w:val="85"/>
        </w:numPr>
        <w:spacing w:before="120" w:after="120" w:line="288" w:lineRule="auto"/>
        <w:ind w:left="0"/>
        <w:jc w:val="left"/>
      </w:pPr>
      <w:r>
        <w:rPr>
          <w:rFonts w:eastAsia="等线" w:ascii="Arial" w:cs="Arial" w:hAnsi="Arial"/>
          <w:b w:val="true"/>
          <w:sz w:val="22"/>
        </w:rPr>
        <w:t>基于数据的调优</w:t>
      </w:r>
      <w:r>
        <w:rPr>
          <w:rFonts w:eastAsia="等线" w:ascii="Arial" w:cs="Arial" w:hAnsi="Arial"/>
          <w:sz w:val="22"/>
        </w:rPr>
        <w:t>：收集系统运行数据，基于数据分析结果进行参数调优，而非凭经验调整。</w:t>
      </w:r>
    </w:p>
    <w:p>
      <w:pPr>
        <w:pStyle w:val="4"/>
        <w:spacing w:before="260" w:after="120" w:line="288" w:lineRule="auto"/>
        <w:ind w:left="0"/>
        <w:jc w:val="left"/>
        <w:outlineLvl w:val="3"/>
      </w:pPr>
      <w:bookmarkStart w:name="heading_36" w:id="36"/>
      <w:r>
        <w:rPr>
          <w:rFonts w:eastAsia="等线" w:ascii="Arial" w:cs="Arial" w:hAnsi="Arial"/>
          <w:b w:val="true"/>
          <w:sz w:val="28"/>
        </w:rPr>
        <w:t>4</w:t>
      </w:r>
      <w:r>
        <w:rPr>
          <w:rFonts w:eastAsia="等线" w:ascii="Arial" w:cs="Arial" w:hAnsi="Arial"/>
          <w:b w:val="true"/>
          <w:sz w:val="28"/>
        </w:rPr>
        <w:t>.3.3 监控指标设置建议</w:t>
      </w:r>
      <w:bookmarkEnd w:id="36"/>
    </w:p>
    <w:p>
      <w:pPr>
        <w:spacing w:before="120" w:after="120" w:line="288" w:lineRule="auto"/>
        <w:ind w:left="0"/>
        <w:jc w:val="left"/>
      </w:pPr>
      <w:r>
        <w:rPr>
          <w:rFonts w:eastAsia="等线" w:ascii="Arial" w:cs="Arial" w:hAnsi="Arial"/>
          <w:sz w:val="22"/>
        </w:rPr>
        <w:t>为了有效监控系统状态，建议设置以下监控指标：</w:t>
      </w:r>
    </w:p>
    <w:p>
      <w:pPr>
        <w:numPr>
          <w:numId w:val="86"/>
        </w:numPr>
        <w:spacing w:before="120" w:after="120" w:line="288" w:lineRule="auto"/>
        <w:ind w:left="0"/>
        <w:jc w:val="left"/>
      </w:pPr>
      <w:r>
        <w:rPr>
          <w:rFonts w:eastAsia="等线" w:ascii="Arial" w:cs="Arial" w:hAnsi="Arial"/>
          <w:b w:val="true"/>
          <w:sz w:val="22"/>
        </w:rPr>
        <w:t>热点机器比例</w:t>
      </w:r>
      <w:r>
        <w:rPr>
          <w:rFonts w:eastAsia="等线" w:ascii="Arial" w:cs="Arial" w:hAnsi="Arial"/>
          <w:sz w:val="22"/>
        </w:rPr>
        <w:t>：监控CPU利用率&gt;80%或内存利用率&gt;90%的机器占比，该指标反映资源分布均衡性。</w:t>
      </w:r>
    </w:p>
    <w:p>
      <w:pPr>
        <w:numPr>
          <w:numId w:val="87"/>
        </w:numPr>
        <w:spacing w:before="120" w:after="120" w:line="288" w:lineRule="auto"/>
        <w:ind w:left="0"/>
        <w:jc w:val="left"/>
      </w:pPr>
      <w:r>
        <w:rPr>
          <w:rFonts w:eastAsia="等线" w:ascii="Arial" w:cs="Arial" w:hAnsi="Arial"/>
          <w:b w:val="true"/>
          <w:sz w:val="22"/>
        </w:rPr>
        <w:t>资源利用率</w:t>
      </w:r>
      <w:r>
        <w:rPr>
          <w:rFonts w:eastAsia="等线" w:ascii="Arial" w:cs="Arial" w:hAnsi="Arial"/>
          <w:sz w:val="22"/>
        </w:rPr>
        <w:t>：监控CPU和内存的平均利用率，该指标反映资源利用效率。</w:t>
      </w:r>
    </w:p>
    <w:p>
      <w:pPr>
        <w:numPr>
          <w:numId w:val="88"/>
        </w:numPr>
        <w:spacing w:before="120" w:after="120" w:line="288" w:lineRule="auto"/>
        <w:ind w:left="0"/>
        <w:jc w:val="left"/>
      </w:pPr>
      <w:r>
        <w:rPr>
          <w:rFonts w:eastAsia="等线" w:ascii="Arial" w:cs="Arial" w:hAnsi="Arial"/>
          <w:b w:val="true"/>
          <w:sz w:val="22"/>
        </w:rPr>
        <w:t>服务质量指标</w:t>
      </w:r>
      <w:r>
        <w:rPr>
          <w:rFonts w:eastAsia="等线" w:ascii="Arial" w:cs="Arial" w:hAnsi="Arial"/>
          <w:sz w:val="22"/>
        </w:rPr>
        <w:t>：监控服务响应时间、错误率等指标，评估资源管理策略对服务质量的影响。</w:t>
      </w:r>
    </w:p>
    <w:p>
      <w:pPr>
        <w:numPr>
          <w:numId w:val="89"/>
        </w:numPr>
        <w:spacing w:before="120" w:after="120" w:line="288" w:lineRule="auto"/>
        <w:ind w:left="0"/>
        <w:jc w:val="left"/>
      </w:pPr>
      <w:r>
        <w:rPr>
          <w:rFonts w:eastAsia="等线" w:ascii="Arial" w:cs="Arial" w:hAnsi="Arial"/>
          <w:b w:val="true"/>
          <w:sz w:val="22"/>
        </w:rPr>
        <w:t>调度成功率</w:t>
      </w:r>
      <w:r>
        <w:rPr>
          <w:rFonts w:eastAsia="等线" w:ascii="Arial" w:cs="Arial" w:hAnsi="Arial"/>
          <w:sz w:val="22"/>
        </w:rPr>
        <w:t>：监控容器调度成功率，评估调度算法的有效性。</w:t>
      </w:r>
    </w:p>
    <w:p>
      <w:pPr>
        <w:numPr>
          <w:numId w:val="90"/>
        </w:numPr>
        <w:spacing w:before="120" w:after="120" w:line="288" w:lineRule="auto"/>
        <w:ind w:left="0"/>
        <w:jc w:val="left"/>
      </w:pPr>
      <w:r>
        <w:rPr>
          <w:rFonts w:eastAsia="等线" w:ascii="Arial" w:cs="Arial" w:hAnsi="Arial"/>
          <w:b w:val="true"/>
          <w:sz w:val="22"/>
        </w:rPr>
        <w:t>系统稳定性指标</w:t>
      </w:r>
      <w:r>
        <w:rPr>
          <w:rFonts w:eastAsia="等线" w:ascii="Arial" w:cs="Arial" w:hAnsi="Arial"/>
          <w:sz w:val="22"/>
        </w:rPr>
        <w:t>：监控系统故障率、资源波动性等指标，评估系统稳定性。</w:t>
      </w:r>
    </w:p>
    <w:p>
      <w:pPr>
        <w:pStyle w:val="4"/>
        <w:spacing w:before="260" w:after="120" w:line="288" w:lineRule="auto"/>
        <w:ind w:left="0"/>
        <w:jc w:val="left"/>
        <w:outlineLvl w:val="3"/>
      </w:pPr>
      <w:bookmarkStart w:name="heading_37" w:id="37"/>
      <w:r>
        <w:rPr>
          <w:rFonts w:eastAsia="等线" w:ascii="Arial" w:cs="Arial" w:hAnsi="Arial"/>
          <w:b w:val="true"/>
          <w:sz w:val="28"/>
        </w:rPr>
        <w:t>4</w:t>
      </w:r>
      <w:r>
        <w:rPr>
          <w:rFonts w:eastAsia="等线" w:ascii="Arial" w:cs="Arial" w:hAnsi="Arial"/>
          <w:b w:val="true"/>
          <w:sz w:val="28"/>
        </w:rPr>
        <w:t>.3.4 异常情况处理机制</w:t>
      </w:r>
      <w:bookmarkEnd w:id="37"/>
    </w:p>
    <w:p>
      <w:pPr>
        <w:spacing w:before="120" w:after="120" w:line="288" w:lineRule="auto"/>
        <w:ind w:left="0"/>
        <w:jc w:val="left"/>
      </w:pPr>
      <w:r>
        <w:rPr>
          <w:rFonts w:eastAsia="等线" w:ascii="Arial" w:cs="Arial" w:hAnsi="Arial"/>
          <w:sz w:val="22"/>
        </w:rPr>
        <w:t>在实际应用中，可能遇到各种异常情况，建议建立以下处理机制：</w:t>
      </w:r>
    </w:p>
    <w:p>
      <w:pPr>
        <w:numPr>
          <w:numId w:val="91"/>
        </w:numPr>
        <w:spacing w:before="120" w:after="120" w:line="288" w:lineRule="auto"/>
        <w:ind w:left="0"/>
        <w:jc w:val="left"/>
      </w:pPr>
      <w:r>
        <w:rPr>
          <w:rFonts w:eastAsia="等线" w:ascii="Arial" w:cs="Arial" w:hAnsi="Arial"/>
          <w:b w:val="true"/>
          <w:sz w:val="22"/>
        </w:rPr>
        <w:t>热点激增处理</w:t>
      </w:r>
      <w:r>
        <w:rPr>
          <w:rFonts w:eastAsia="等线" w:ascii="Arial" w:cs="Arial" w:hAnsi="Arial"/>
          <w:sz w:val="22"/>
        </w:rPr>
        <w:t>：当热点机器比例突然增加时，自动降低超售比例，加强热点调度，必要时触发容器迁移。</w:t>
      </w:r>
    </w:p>
    <w:p>
      <w:pPr>
        <w:numPr>
          <w:numId w:val="92"/>
        </w:numPr>
        <w:spacing w:before="120" w:after="120" w:line="288" w:lineRule="auto"/>
        <w:ind w:left="0"/>
        <w:jc w:val="left"/>
      </w:pPr>
      <w:r>
        <w:rPr>
          <w:rFonts w:eastAsia="等线" w:ascii="Arial" w:cs="Arial" w:hAnsi="Arial"/>
          <w:b w:val="true"/>
          <w:sz w:val="22"/>
        </w:rPr>
        <w:t>服务质量下降处理</w:t>
      </w:r>
      <w:r>
        <w:rPr>
          <w:rFonts w:eastAsia="等线" w:ascii="Arial" w:cs="Arial" w:hAnsi="Arial"/>
          <w:sz w:val="22"/>
        </w:rPr>
        <w:t>：当服务质量指标恶化时，自动调整资源管理策略，如降低超售比例、调整特征值阈值等。</w:t>
      </w:r>
    </w:p>
    <w:p>
      <w:pPr>
        <w:numPr>
          <w:numId w:val="93"/>
        </w:numPr>
        <w:spacing w:before="120" w:after="120" w:line="288" w:lineRule="auto"/>
        <w:ind w:left="0"/>
        <w:jc w:val="left"/>
      </w:pPr>
      <w:r>
        <w:rPr>
          <w:rFonts w:eastAsia="等线" w:ascii="Arial" w:cs="Arial" w:hAnsi="Arial"/>
          <w:b w:val="true"/>
          <w:sz w:val="22"/>
        </w:rPr>
        <w:t>系统故障处理</w:t>
      </w:r>
      <w:r>
        <w:rPr>
          <w:rFonts w:eastAsia="等线" w:ascii="Arial" w:cs="Arial" w:hAnsi="Arial"/>
          <w:sz w:val="22"/>
        </w:rPr>
        <w:t>：当系统出现故障时，能够快速定位问题，必要时回滚到稳定版本。</w:t>
      </w:r>
    </w:p>
    <w:p>
      <w:pPr>
        <w:numPr>
          <w:numId w:val="94"/>
        </w:numPr>
        <w:spacing w:before="120" w:after="120" w:line="288" w:lineRule="auto"/>
        <w:ind w:left="0"/>
        <w:jc w:val="left"/>
      </w:pPr>
      <w:r>
        <w:rPr>
          <w:rFonts w:eastAsia="等线" w:ascii="Arial" w:cs="Arial" w:hAnsi="Arial"/>
          <w:b w:val="true"/>
          <w:sz w:val="22"/>
        </w:rPr>
        <w:t>资源竞争处理</w:t>
      </w:r>
      <w:r>
        <w:rPr>
          <w:rFonts w:eastAsia="等线" w:ascii="Arial" w:cs="Arial" w:hAnsi="Arial"/>
          <w:sz w:val="22"/>
        </w:rPr>
        <w:t>：当资源竞争激烈时，能够根据业务优先级进行资源调整，保障关键业务的服务质量。</w:t>
      </w:r>
    </w:p>
    <w:p>
      <w:pPr>
        <w:numPr>
          <w:numId w:val="95"/>
        </w:numPr>
        <w:spacing w:before="120" w:after="120" w:line="288" w:lineRule="auto"/>
        <w:ind w:left="0"/>
        <w:jc w:val="left"/>
      </w:pPr>
      <w:r>
        <w:rPr>
          <w:rFonts w:eastAsia="等线" w:ascii="Arial" w:cs="Arial" w:hAnsi="Arial"/>
          <w:b w:val="true"/>
          <w:sz w:val="22"/>
        </w:rPr>
        <w:t>参数自动调整</w:t>
      </w:r>
      <w:r>
        <w:rPr>
          <w:rFonts w:eastAsia="等线" w:ascii="Arial" w:cs="Arial" w:hAnsi="Arial"/>
          <w:sz w:val="22"/>
        </w:rPr>
        <w:t>：建立参数自动调整机制，根据系统状态动态调整参数，提高系统适应性。</w:t>
      </w:r>
    </w:p>
    <w:p>
      <w:pPr>
        <w:pStyle w:val="4"/>
        <w:spacing w:before="260" w:after="120" w:line="288" w:lineRule="auto"/>
        <w:ind w:left="0"/>
        <w:jc w:val="left"/>
        <w:outlineLvl w:val="3"/>
      </w:pPr>
      <w:bookmarkStart w:name="heading_38" w:id="38"/>
      <w:r>
        <w:rPr>
          <w:rFonts w:eastAsia="等线" w:ascii="Arial" w:cs="Arial" w:hAnsi="Arial"/>
          <w:b w:val="true"/>
          <w:sz w:val="28"/>
        </w:rPr>
        <w:t>4</w:t>
      </w:r>
      <w:r>
        <w:rPr>
          <w:rFonts w:eastAsia="等线" w:ascii="Arial" w:cs="Arial" w:hAnsi="Arial"/>
          <w:b w:val="true"/>
          <w:sz w:val="28"/>
        </w:rPr>
        <w:t>.3.5 扩展到不同规模集群的适应性分析</w:t>
      </w:r>
      <w:bookmarkEnd w:id="38"/>
    </w:p>
    <w:p>
      <w:pPr>
        <w:spacing w:before="120" w:after="120" w:line="288" w:lineRule="auto"/>
        <w:ind w:left="0"/>
        <w:jc w:val="left"/>
      </w:pPr>
      <w:r>
        <w:rPr>
          <w:rFonts w:eastAsia="等线" w:ascii="Arial" w:cs="Arial" w:hAnsi="Arial"/>
          <w:sz w:val="22"/>
        </w:rPr>
        <w:t>协同机制在不同规模集群上的适应性分析表明：</w:t>
      </w:r>
    </w:p>
    <w:p>
      <w:pPr>
        <w:numPr>
          <w:numId w:val="96"/>
        </w:numPr>
        <w:spacing w:before="120" w:after="120" w:line="288" w:lineRule="auto"/>
        <w:ind w:left="0"/>
        <w:jc w:val="left"/>
      </w:pPr>
      <w:r>
        <w:rPr>
          <w:rFonts w:eastAsia="等线" w:ascii="Arial" w:cs="Arial" w:hAnsi="Arial"/>
          <w:b w:val="true"/>
          <w:sz w:val="22"/>
        </w:rPr>
        <w:t>小型集群（数百台机器）</w:t>
      </w:r>
      <w:r>
        <w:rPr>
          <w:rFonts w:eastAsia="等线" w:ascii="Arial" w:cs="Arial" w:hAnsi="Arial"/>
          <w:sz w:val="22"/>
        </w:rPr>
        <w:t>：协同机制在小型集群上表现良好，但效果可能不如大型集群明显，建议适当降低超售比例。</w:t>
      </w:r>
    </w:p>
    <w:p>
      <w:pPr>
        <w:numPr>
          <w:numId w:val="97"/>
        </w:numPr>
        <w:spacing w:before="120" w:after="120" w:line="288" w:lineRule="auto"/>
        <w:ind w:left="0"/>
        <w:jc w:val="left"/>
      </w:pPr>
      <w:r>
        <w:rPr>
          <w:rFonts w:eastAsia="等线" w:ascii="Arial" w:cs="Arial" w:hAnsi="Arial"/>
          <w:b w:val="true"/>
          <w:sz w:val="22"/>
        </w:rPr>
        <w:t>中型集群（数千台机器）</w:t>
      </w:r>
      <w:r>
        <w:rPr>
          <w:rFonts w:eastAsia="等线" w:ascii="Arial" w:cs="Arial" w:hAnsi="Arial"/>
          <w:sz w:val="22"/>
        </w:rPr>
        <w:t>：协同机制在中型集群上表现最佳，能够充分发挥热点调度和资源超售的优势。</w:t>
      </w:r>
    </w:p>
    <w:p>
      <w:pPr>
        <w:numPr>
          <w:numId w:val="98"/>
        </w:numPr>
        <w:spacing w:before="120" w:after="120" w:line="288" w:lineRule="auto"/>
        <w:ind w:left="0"/>
        <w:jc w:val="left"/>
      </w:pPr>
      <w:r>
        <w:rPr>
          <w:rFonts w:eastAsia="等线" w:ascii="Arial" w:cs="Arial" w:hAnsi="Arial"/>
          <w:b w:val="true"/>
          <w:sz w:val="22"/>
        </w:rPr>
        <w:t>大型集群（数万台机器）</w:t>
      </w:r>
      <w:r>
        <w:rPr>
          <w:rFonts w:eastAsia="等线" w:ascii="Arial" w:cs="Arial" w:hAnsi="Arial"/>
          <w:sz w:val="22"/>
        </w:rPr>
        <w:t>：协同机制在大型集群上也表现良好，但系统复杂度增加，建议分区域实施，并加强监控。</w:t>
      </w:r>
    </w:p>
    <w:p>
      <w:pPr>
        <w:numPr>
          <w:numId w:val="99"/>
        </w:numPr>
        <w:spacing w:before="120" w:after="120" w:line="288" w:lineRule="auto"/>
        <w:ind w:left="0"/>
        <w:jc w:val="left"/>
      </w:pPr>
      <w:r>
        <w:rPr>
          <w:rFonts w:eastAsia="等线" w:ascii="Arial" w:cs="Arial" w:hAnsi="Arial"/>
          <w:b w:val="true"/>
          <w:sz w:val="22"/>
        </w:rPr>
        <w:t>异构集群</w:t>
      </w:r>
      <w:r>
        <w:rPr>
          <w:rFonts w:eastAsia="等线" w:ascii="Arial" w:cs="Arial" w:hAnsi="Arial"/>
          <w:sz w:val="22"/>
        </w:rPr>
        <w:t>：对于包含不同硬件配置的异构集群，建议根据硬件特性调整参数，如为高性能机器设置较高的超售比例。</w:t>
      </w:r>
    </w:p>
    <w:p>
      <w:pPr>
        <w:numPr>
          <w:numId w:val="100"/>
        </w:numPr>
        <w:spacing w:before="120" w:after="120" w:line="288" w:lineRule="auto"/>
        <w:ind w:left="0"/>
        <w:jc w:val="left"/>
      </w:pPr>
      <w:r>
        <w:rPr>
          <w:rFonts w:eastAsia="等线" w:ascii="Arial" w:cs="Arial" w:hAnsi="Arial"/>
          <w:b w:val="true"/>
          <w:sz w:val="22"/>
        </w:rPr>
        <w:t>多业务混合集群</w:t>
      </w:r>
      <w:r>
        <w:rPr>
          <w:rFonts w:eastAsia="等线" w:ascii="Arial" w:cs="Arial" w:hAnsi="Arial"/>
          <w:sz w:val="22"/>
        </w:rPr>
        <w:t>：对于承载多种业务的混合集群，建议根据业务特性调整策略，如为关键业务提供更好的资源保障。</w:t>
      </w:r>
    </w:p>
    <w:p>
      <w:pPr>
        <w:pStyle w:val="2"/>
        <w:spacing w:before="320" w:after="120" w:line="288" w:lineRule="auto"/>
        <w:ind w:left="0"/>
        <w:jc w:val="left"/>
        <w:outlineLvl w:val="1"/>
      </w:pPr>
      <w:bookmarkStart w:name="heading_39" w:id="39"/>
      <w:r>
        <w:rPr>
          <w:rFonts w:eastAsia="等线" w:ascii="Arial" w:cs="Arial" w:hAnsi="Arial"/>
          <w:b w:val="true"/>
          <w:sz w:val="32"/>
        </w:rPr>
        <w:t>5</w:t>
      </w:r>
      <w:r>
        <w:rPr>
          <w:rFonts w:eastAsia="等线" w:ascii="Arial" w:cs="Arial" w:hAnsi="Arial"/>
          <w:b w:val="true"/>
          <w:sz w:val="32"/>
        </w:rPr>
        <w:t>. 结论与未来工作</w:t>
      </w:r>
      <w:bookmarkEnd w:id="39"/>
    </w:p>
    <w:p>
      <w:pPr>
        <w:pStyle w:val="3"/>
        <w:spacing w:before="300" w:after="120" w:line="288" w:lineRule="auto"/>
        <w:ind w:left="0"/>
        <w:jc w:val="left"/>
        <w:outlineLvl w:val="2"/>
      </w:pPr>
      <w:bookmarkStart w:name="heading_40" w:id="40"/>
      <w:r>
        <w:rPr>
          <w:rFonts w:eastAsia="等线" w:ascii="Arial" w:cs="Arial" w:hAnsi="Arial"/>
          <w:b w:val="true"/>
          <w:sz w:val="30"/>
        </w:rPr>
        <w:t>5.</w:t>
      </w:r>
      <w:r>
        <w:rPr>
          <w:rFonts w:eastAsia="等线" w:ascii="Arial" w:cs="Arial" w:hAnsi="Arial"/>
          <w:b w:val="true"/>
          <w:sz w:val="30"/>
        </w:rPr>
        <w:t>1 结论</w:t>
      </w:r>
      <w:bookmarkEnd w:id="40"/>
    </w:p>
    <w:p>
      <w:pPr>
        <w:spacing w:before="120" w:after="120" w:line="288" w:lineRule="auto"/>
        <w:ind w:left="0"/>
        <w:jc w:val="left"/>
      </w:pPr>
      <w:r>
        <w:rPr>
          <w:rFonts w:eastAsia="等线" w:ascii="Arial" w:cs="Arial" w:hAnsi="Arial"/>
          <w:sz w:val="22"/>
        </w:rPr>
        <w:t>本研究提出了热点调度与资源超售的协同机制，旨在从资源分布均衡性和整体利用率两个维度优化云计算资源管理。主要研究成果包括：</w:t>
      </w:r>
    </w:p>
    <w:p>
      <w:pPr>
        <w:spacing w:before="120" w:after="120" w:line="288" w:lineRule="auto"/>
        <w:ind w:left="0"/>
        <w:jc w:val="left"/>
      </w:pPr>
      <w:r>
        <w:rPr>
          <w:rFonts w:eastAsia="等线" w:ascii="Arial" w:cs="Arial" w:hAnsi="Arial"/>
          <w:b w:val="true"/>
          <w:sz w:val="22"/>
        </w:rPr>
        <w:t>主要研究成果</w:t>
      </w:r>
    </w:p>
    <w:p>
      <w:pPr>
        <w:numPr>
          <w:numId w:val="101"/>
        </w:numPr>
        <w:spacing w:before="120" w:after="120" w:line="288" w:lineRule="auto"/>
        <w:ind w:left="0"/>
        <w:jc w:val="left"/>
      </w:pPr>
      <w:r>
        <w:rPr>
          <w:rFonts w:eastAsia="等线" w:ascii="Arial" w:cs="Arial" w:hAnsi="Arial"/>
          <w:b w:val="true"/>
          <w:sz w:val="22"/>
        </w:rPr>
        <w:t>热点调度策略</w:t>
      </w:r>
      <w:r>
        <w:rPr>
          <w:rFonts w:eastAsia="等线" w:ascii="Arial" w:cs="Arial" w:hAnsi="Arial"/>
          <w:sz w:val="22"/>
        </w:rPr>
        <w:t>：通过特征值计算的机器分级调度机制，使集群内机器负载更加均衡，减少热点机器数量，改善资源分布均衡性。实验结果表明，热点调度策略能够将热点机器比例从3.2%降低到1.5%，同时提高服务质量。</w:t>
      </w:r>
    </w:p>
    <w:p>
      <w:pPr>
        <w:numPr>
          <w:numId w:val="102"/>
        </w:numPr>
        <w:spacing w:before="120" w:after="120" w:line="288" w:lineRule="auto"/>
        <w:ind w:left="0"/>
        <w:jc w:val="left"/>
      </w:pPr>
      <w:r>
        <w:rPr>
          <w:rFonts w:eastAsia="等线" w:ascii="Arial" w:cs="Arial" w:hAnsi="Arial"/>
          <w:b w:val="true"/>
          <w:sz w:val="22"/>
        </w:rPr>
        <w:t>资源超售方法</w:t>
      </w:r>
      <w:r>
        <w:rPr>
          <w:rFonts w:eastAsia="等线" w:ascii="Arial" w:cs="Arial" w:hAnsi="Arial"/>
          <w:sz w:val="22"/>
        </w:rPr>
        <w:t>：基于服务画像，采用静态比例模型回收未使用资源并进行二次分配，提高整体资源利用率。实验结果表明，10%的超售比例能够将CPU平均利用率从37.46%提高到46.82%，内存平均利用率从64.54%提高到71.45%。</w:t>
      </w:r>
    </w:p>
    <w:p>
      <w:pPr>
        <w:numPr>
          <w:numId w:val="103"/>
        </w:numPr>
        <w:spacing w:before="120" w:after="120" w:line="288" w:lineRule="auto"/>
        <w:ind w:left="0"/>
        <w:jc w:val="left"/>
      </w:pPr>
      <w:r>
        <w:rPr>
          <w:rFonts w:eastAsia="等线" w:ascii="Arial" w:cs="Arial" w:hAnsi="Arial"/>
          <w:b w:val="true"/>
          <w:sz w:val="22"/>
        </w:rPr>
        <w:t>协同机制</w:t>
      </w:r>
      <w:r>
        <w:rPr>
          <w:rFonts w:eastAsia="等线" w:ascii="Arial" w:cs="Arial" w:hAnsi="Arial"/>
          <w:sz w:val="22"/>
        </w:rPr>
        <w:t>：将热点调度和资源超售集成到同一系统架构中，共享数据采集和分析模块，在调度决策中同时考虑热点避免和资源超售，形成更完整的资源管理解决方案。实验结果表明，协同机制能够在保持良好热点控制效果的同时，显著提高资源利用率。</w:t>
      </w:r>
    </w:p>
    <w:p>
      <w:pPr>
        <w:spacing w:before="120" w:after="120" w:line="288" w:lineRule="auto"/>
        <w:ind w:left="0"/>
        <w:jc w:val="left"/>
      </w:pPr>
      <w:r>
        <w:rPr>
          <w:rFonts w:eastAsia="等线" w:ascii="Arial" w:cs="Arial" w:hAnsi="Arial"/>
          <w:sz w:val="22"/>
        </w:rPr>
        <w:t>本研究的理论贡献主要体现在：</w:t>
      </w:r>
    </w:p>
    <w:p>
      <w:pPr>
        <w:numPr>
          <w:numId w:val="104"/>
        </w:numPr>
        <w:spacing w:before="120" w:after="120" w:line="288" w:lineRule="auto"/>
        <w:ind w:left="0"/>
        <w:jc w:val="left"/>
      </w:pPr>
      <w:r>
        <w:rPr>
          <w:rFonts w:eastAsia="等线" w:ascii="Arial" w:cs="Arial" w:hAnsi="Arial"/>
          <w:b w:val="true"/>
          <w:sz w:val="22"/>
        </w:rPr>
        <w:t>扩展了云计算资源管理的理论框架</w:t>
      </w:r>
      <w:r>
        <w:rPr>
          <w:rFonts w:eastAsia="等线" w:ascii="Arial" w:cs="Arial" w:hAnsi="Arial"/>
          <w:sz w:val="22"/>
        </w:rPr>
        <w:t>：将热点调度和资源超售视为互补的资源管理策略，扩展了云计算资源管理的理论框架。</w:t>
      </w:r>
    </w:p>
    <w:p>
      <w:pPr>
        <w:numPr>
          <w:numId w:val="105"/>
        </w:numPr>
        <w:spacing w:before="120" w:after="120" w:line="288" w:lineRule="auto"/>
        <w:ind w:left="0"/>
        <w:jc w:val="left"/>
      </w:pPr>
      <w:r>
        <w:rPr>
          <w:rFonts w:eastAsia="等线" w:ascii="Arial" w:cs="Arial" w:hAnsi="Arial"/>
          <w:b w:val="true"/>
          <w:sz w:val="22"/>
        </w:rPr>
        <w:t>提出了资源调度与超售协同的新模型</w:t>
      </w:r>
      <w:r>
        <w:rPr>
          <w:rFonts w:eastAsia="等线" w:ascii="Arial" w:cs="Arial" w:hAnsi="Arial"/>
          <w:sz w:val="22"/>
        </w:rPr>
        <w:t>：设计了热点调度和资源超售的协同工作机制，提出了资源调度与超售协同的新模型。</w:t>
      </w:r>
    </w:p>
    <w:p>
      <w:pPr>
        <w:numPr>
          <w:numId w:val="106"/>
        </w:numPr>
        <w:spacing w:before="120" w:after="120" w:line="288" w:lineRule="auto"/>
        <w:ind w:left="0"/>
        <w:jc w:val="left"/>
      </w:pPr>
      <w:r>
        <w:rPr>
          <w:rFonts w:eastAsia="等线" w:ascii="Arial" w:cs="Arial" w:hAnsi="Arial"/>
          <w:b w:val="true"/>
          <w:sz w:val="22"/>
        </w:rPr>
        <w:t>分析了两种方法的互补性和协同效应</w:t>
      </w:r>
      <w:r>
        <w:rPr>
          <w:rFonts w:eastAsia="等线" w:ascii="Arial" w:cs="Arial" w:hAnsi="Arial"/>
          <w:sz w:val="22"/>
        </w:rPr>
        <w:t>：深入分析了热点调度和资源超售的互补性，探讨了两种方法协同工作的机制和效果。</w:t>
      </w:r>
    </w:p>
    <w:p>
      <w:pPr>
        <w:spacing w:before="120" w:after="120" w:line="288" w:lineRule="auto"/>
        <w:ind w:left="0"/>
        <w:jc w:val="left"/>
      </w:pPr>
      <w:r>
        <w:rPr>
          <w:rFonts w:eastAsia="等线" w:ascii="Arial" w:cs="Arial" w:hAnsi="Arial"/>
          <w:sz w:val="22"/>
        </w:rPr>
        <w:t>本研究的实践价值主要体现在：</w:t>
      </w:r>
    </w:p>
    <w:p>
      <w:pPr>
        <w:numPr>
          <w:numId w:val="107"/>
        </w:numPr>
        <w:spacing w:before="120" w:after="120" w:line="288" w:lineRule="auto"/>
        <w:ind w:left="0"/>
        <w:jc w:val="left"/>
      </w:pPr>
      <w:r>
        <w:rPr>
          <w:rFonts w:eastAsia="等线" w:ascii="Arial" w:cs="Arial" w:hAnsi="Arial"/>
          <w:b w:val="true"/>
          <w:sz w:val="22"/>
        </w:rPr>
        <w:t>为云服务提供商提供了资源利用率优化方案</w:t>
      </w:r>
      <w:r>
        <w:rPr>
          <w:rFonts w:eastAsia="等线" w:ascii="Arial" w:cs="Arial" w:hAnsi="Arial"/>
          <w:sz w:val="22"/>
        </w:rPr>
        <w:t>：提出的协同机制为云服务提供商提供了一种实用的资源利用率优化方案，可直接应用于实际环境。</w:t>
      </w:r>
    </w:p>
    <w:p>
      <w:pPr>
        <w:numPr>
          <w:numId w:val="108"/>
        </w:numPr>
        <w:spacing w:before="120" w:after="120" w:line="288" w:lineRule="auto"/>
        <w:ind w:left="0"/>
        <w:jc w:val="left"/>
      </w:pPr>
      <w:r>
        <w:rPr>
          <w:rFonts w:eastAsia="等线" w:ascii="Arial" w:cs="Arial" w:hAnsi="Arial"/>
          <w:b w:val="true"/>
          <w:sz w:val="22"/>
        </w:rPr>
        <w:t>降低运营成本，提高资源效益</w:t>
      </w:r>
      <w:r>
        <w:rPr>
          <w:rFonts w:eastAsia="等线" w:ascii="Arial" w:cs="Arial" w:hAnsi="Arial"/>
          <w:sz w:val="22"/>
        </w:rPr>
        <w:t>：通过提高资源利用率，协同机制能够降低云服务提供商的硬件投入和运营成本，提高资源效益。</w:t>
      </w:r>
    </w:p>
    <w:p>
      <w:pPr>
        <w:numPr>
          <w:numId w:val="109"/>
        </w:numPr>
        <w:spacing w:before="120" w:after="120" w:line="288" w:lineRule="auto"/>
        <w:ind w:left="0"/>
        <w:jc w:val="left"/>
      </w:pPr>
      <w:r>
        <w:rPr>
          <w:rFonts w:eastAsia="等线" w:ascii="Arial" w:cs="Arial" w:hAnsi="Arial"/>
          <w:b w:val="true"/>
          <w:sz w:val="22"/>
        </w:rPr>
        <w:t>提供了实施指南和最佳实践</w:t>
      </w:r>
      <w:r>
        <w:rPr>
          <w:rFonts w:eastAsia="等线" w:ascii="Arial" w:cs="Arial" w:hAnsi="Arial"/>
          <w:sz w:val="22"/>
        </w:rPr>
        <w:t>：研究提供了详细的实施指南和最佳实践，包括灰度发布策略、参数调优指南、监控指标设置建议等，降低了实施难度和风险。</w:t>
      </w:r>
    </w:p>
    <w:p>
      <w:pPr>
        <w:spacing w:before="120" w:after="120" w:line="288" w:lineRule="auto"/>
        <w:ind w:left="0"/>
        <w:jc w:val="left"/>
      </w:pPr>
      <w:r>
        <w:rPr>
          <w:rFonts w:eastAsia="等线" w:ascii="Arial" w:cs="Arial" w:hAnsi="Arial"/>
          <w:sz w:val="22"/>
        </w:rPr>
        <w:t>总之，本研究提出的热点调度与资源超售协同机制，为云计算资源管理提供了新的思路和方法，在不增加物理资源的情况下有效提升资源利用效率，具有重要的理论价值和实践意义。</w:t>
      </w:r>
    </w:p>
    <w:p>
      <w:pPr>
        <w:spacing w:before="120" w:after="120" w:line="288" w:lineRule="auto"/>
        <w:ind w:left="0"/>
        <w:jc w:val="left"/>
      </w:pPr>
      <w:r>
        <w:rPr>
          <w:rFonts w:eastAsia="等线" w:ascii="Arial" w:cs="Arial" w:hAnsi="Arial"/>
          <w:sz w:val="22"/>
        </w:rPr>
        <w:t>在完成上线之后，通过超售机制为主混布队列共挖掘提供了</w:t>
      </w:r>
      <w:r>
        <w:rPr>
          <w:rFonts w:eastAsia="等线" w:ascii="Arial" w:cs="Arial" w:hAnsi="Arial"/>
          <w:color w:val="245bdb"/>
          <w:sz w:val="22"/>
        </w:rPr>
        <w:t>381W核</w:t>
      </w:r>
      <w:r>
        <w:rPr>
          <w:rFonts w:eastAsia="等线" w:ascii="Arial" w:cs="Arial" w:hAnsi="Arial"/>
          <w:sz w:val="22"/>
        </w:rPr>
        <w:t>资源，折合物理机</w:t>
      </w:r>
      <w:r>
        <w:rPr>
          <w:rFonts w:eastAsia="等线" w:ascii="Arial" w:cs="Arial" w:hAnsi="Arial"/>
          <w:color w:val="245bdb"/>
          <w:sz w:val="22"/>
        </w:rPr>
        <w:t>7620台</w:t>
      </w:r>
      <w:r>
        <w:rPr>
          <w:rFonts w:eastAsia="等线" w:ascii="Arial" w:cs="Arial" w:hAnsi="Arial"/>
          <w:sz w:val="22"/>
        </w:rPr>
        <w:t>，为主混布队列节省了</w:t>
      </w:r>
      <w:r>
        <w:rPr>
          <w:rFonts w:eastAsia="等线" w:ascii="Arial" w:cs="Arial" w:hAnsi="Arial"/>
          <w:color w:val="245bdb"/>
          <w:sz w:val="22"/>
        </w:rPr>
        <w:t>7000+物理机</w:t>
      </w:r>
      <w:r>
        <w:rPr>
          <w:rFonts w:eastAsia="等线" w:ascii="Arial" w:cs="Arial" w:hAnsi="Arial"/>
          <w:sz w:val="22"/>
        </w:rPr>
        <w:t>，同时也为主混布队列尤其是北京地域中的重点无法扩展机架位购买机器的集群提供了大量的资源。超售集群整个队列的机器的利用率提升，说明，机器高效的被使用，在相同服务需求下，需要的机器更少，单位成本更低，实现了。降低公司服务器的TCO，降低单位成本。</w:t>
      </w:r>
    </w:p>
    <w:p>
      <w:pPr>
        <w:pStyle w:val="3"/>
        <w:spacing w:before="300" w:after="120" w:line="288" w:lineRule="auto"/>
        <w:ind w:left="0"/>
        <w:jc w:val="left"/>
        <w:outlineLvl w:val="2"/>
      </w:pPr>
      <w:bookmarkStart w:name="heading_41" w:id="41"/>
      <w:r>
        <w:rPr>
          <w:rFonts w:eastAsia="等线" w:ascii="Arial" w:cs="Arial" w:hAnsi="Arial"/>
          <w:b w:val="true"/>
          <w:sz w:val="30"/>
        </w:rPr>
        <w:t>5</w:t>
      </w:r>
      <w:r>
        <w:rPr>
          <w:rFonts w:eastAsia="等线" w:ascii="Arial" w:cs="Arial" w:hAnsi="Arial"/>
          <w:b w:val="true"/>
          <w:sz w:val="30"/>
        </w:rPr>
        <w:t>.2 未来工作</w:t>
      </w:r>
      <w:bookmarkEnd w:id="41"/>
    </w:p>
    <w:p>
      <w:pPr>
        <w:spacing w:before="120" w:after="120" w:line="288" w:lineRule="auto"/>
        <w:ind w:left="0"/>
        <w:jc w:val="left"/>
      </w:pPr>
      <w:r>
        <w:rPr>
          <w:rFonts w:eastAsia="等线" w:ascii="Arial" w:cs="Arial" w:hAnsi="Arial"/>
          <w:sz w:val="22"/>
        </w:rPr>
        <w:t>尽管本研究取得了一定成果，但仍有许多方面值得进一步探索。未来工作主要包括以下几个方向：</w:t>
      </w:r>
    </w:p>
    <w:p>
      <w:pPr>
        <w:pStyle w:val="4"/>
        <w:spacing w:before="260" w:after="120" w:line="288" w:lineRule="auto"/>
        <w:ind w:left="0"/>
        <w:jc w:val="left"/>
        <w:outlineLvl w:val="3"/>
      </w:pPr>
      <w:bookmarkStart w:name="heading_42" w:id="42"/>
      <w:r>
        <w:rPr>
          <w:rFonts w:eastAsia="等线" w:ascii="Arial" w:cs="Arial" w:hAnsi="Arial"/>
          <w:b w:val="true"/>
          <w:sz w:val="28"/>
        </w:rPr>
        <w:t>5</w:t>
      </w:r>
      <w:r>
        <w:rPr>
          <w:rFonts w:eastAsia="等线" w:ascii="Arial" w:cs="Arial" w:hAnsi="Arial"/>
          <w:b w:val="true"/>
          <w:sz w:val="28"/>
        </w:rPr>
        <w:t>.2.1 动态超售比例研究</w:t>
      </w:r>
      <w:bookmarkEnd w:id="42"/>
    </w:p>
    <w:p>
      <w:pPr>
        <w:spacing w:before="120" w:after="120" w:line="288" w:lineRule="auto"/>
        <w:ind w:left="0"/>
        <w:jc w:val="left"/>
      </w:pPr>
      <w:r>
        <w:rPr>
          <w:rFonts w:eastAsia="等线" w:ascii="Arial" w:cs="Arial" w:hAnsi="Arial"/>
          <w:sz w:val="22"/>
        </w:rPr>
        <w:t>静态比例模型虽然简单高效，但精度有限。未来可以探索动态超售比例的研究：</w:t>
      </w:r>
    </w:p>
    <w:p>
      <w:pPr>
        <w:numPr>
          <w:numId w:val="110"/>
        </w:numPr>
        <w:spacing w:before="120" w:after="120" w:line="288" w:lineRule="auto"/>
        <w:ind w:left="0"/>
        <w:jc w:val="left"/>
      </w:pPr>
      <w:r>
        <w:rPr>
          <w:rFonts w:eastAsia="等线" w:ascii="Arial" w:cs="Arial" w:hAnsi="Arial"/>
          <w:b w:val="true"/>
          <w:sz w:val="22"/>
        </w:rPr>
        <w:t>基于机器学习的自适应超售比例调整</w:t>
      </w:r>
      <w:r>
        <w:rPr>
          <w:rFonts w:eastAsia="等线" w:ascii="Arial" w:cs="Arial" w:hAnsi="Arial"/>
          <w:sz w:val="22"/>
        </w:rPr>
        <w:t>：利用机器学习技术，根据历史数据和当前系统状态，自动调整超售比例，提高精度和适应性。</w:t>
      </w:r>
    </w:p>
    <w:p>
      <w:pPr>
        <w:numPr>
          <w:numId w:val="111"/>
        </w:numPr>
        <w:spacing w:before="120" w:after="120" w:line="288" w:lineRule="auto"/>
        <w:ind w:left="0"/>
        <w:jc w:val="left"/>
      </w:pPr>
      <w:r>
        <w:rPr>
          <w:rFonts w:eastAsia="等线" w:ascii="Arial" w:cs="Arial" w:hAnsi="Arial"/>
          <w:b w:val="true"/>
          <w:sz w:val="22"/>
        </w:rPr>
        <w:t>考虑时间维度的资源使用波动模型</w:t>
      </w:r>
      <w:r>
        <w:rPr>
          <w:rFonts w:eastAsia="等线" w:ascii="Arial" w:cs="Arial" w:hAnsi="Arial"/>
          <w:sz w:val="22"/>
        </w:rPr>
        <w:t>：分析资源使用的时间模式，如日变化、周变化等，建立更精确的资源使用波动模型，指导超售比例调整。</w:t>
      </w:r>
    </w:p>
    <w:p>
      <w:pPr>
        <w:numPr>
          <w:numId w:val="112"/>
        </w:numPr>
        <w:spacing w:before="120" w:after="120" w:line="288" w:lineRule="auto"/>
        <w:ind w:left="0"/>
        <w:jc w:val="left"/>
      </w:pPr>
      <w:r>
        <w:rPr>
          <w:rFonts w:eastAsia="等线" w:ascii="Arial" w:cs="Arial" w:hAnsi="Arial"/>
          <w:b w:val="true"/>
          <w:sz w:val="22"/>
        </w:rPr>
        <w:t>业务特性与超售比例的关联分析</w:t>
      </w:r>
      <w:r>
        <w:rPr>
          <w:rFonts w:eastAsia="等线" w:ascii="Arial" w:cs="Arial" w:hAnsi="Arial"/>
          <w:sz w:val="22"/>
        </w:rPr>
        <w:t>：研究不同业务特性对超售比例的影响，为不同类型的业务设定个性化的超售策略。</w:t>
      </w:r>
    </w:p>
    <w:p>
      <w:pPr>
        <w:pStyle w:val="4"/>
        <w:spacing w:before="260" w:after="120" w:line="288" w:lineRule="auto"/>
        <w:ind w:left="0"/>
        <w:jc w:val="left"/>
        <w:outlineLvl w:val="3"/>
      </w:pPr>
      <w:bookmarkStart w:name="heading_43" w:id="43"/>
      <w:r>
        <w:rPr>
          <w:rFonts w:eastAsia="等线" w:ascii="Arial" w:cs="Arial" w:hAnsi="Arial"/>
          <w:b w:val="true"/>
          <w:sz w:val="28"/>
        </w:rPr>
        <w:t>5</w:t>
      </w:r>
      <w:r>
        <w:rPr>
          <w:rFonts w:eastAsia="等线" w:ascii="Arial" w:cs="Arial" w:hAnsi="Arial"/>
          <w:b w:val="true"/>
          <w:sz w:val="28"/>
        </w:rPr>
        <w:t>.2.2 热点调度算法优化</w:t>
      </w:r>
      <w:bookmarkEnd w:id="43"/>
    </w:p>
    <w:p>
      <w:pPr>
        <w:spacing w:before="120" w:after="120" w:line="288" w:lineRule="auto"/>
        <w:ind w:left="0"/>
        <w:jc w:val="left"/>
      </w:pPr>
      <w:r>
        <w:rPr>
          <w:rFonts w:eastAsia="等线" w:ascii="Arial" w:cs="Arial" w:hAnsi="Arial"/>
          <w:sz w:val="22"/>
        </w:rPr>
        <w:t>热点调度算法还有进一步优化的空间：</w:t>
      </w:r>
    </w:p>
    <w:p>
      <w:pPr>
        <w:numPr>
          <w:numId w:val="113"/>
        </w:numPr>
        <w:spacing w:before="120" w:after="120" w:line="288" w:lineRule="auto"/>
        <w:ind w:left="0"/>
        <w:jc w:val="left"/>
      </w:pPr>
      <w:r>
        <w:rPr>
          <w:rFonts w:eastAsia="等线" w:ascii="Arial" w:cs="Arial" w:hAnsi="Arial"/>
          <w:b w:val="true"/>
          <w:sz w:val="22"/>
        </w:rPr>
        <w:t>引入深度强化学习的调度决策机制</w:t>
      </w:r>
      <w:r>
        <w:rPr>
          <w:rFonts w:eastAsia="等线" w:ascii="Arial" w:cs="Arial" w:hAnsi="Arial"/>
          <w:sz w:val="22"/>
        </w:rPr>
        <w:t>：利用深度强化学习技术，根据系统状态和历史经验，自动学习最优的调度策略，提高调度效果。</w:t>
      </w:r>
    </w:p>
    <w:p>
      <w:pPr>
        <w:numPr>
          <w:numId w:val="114"/>
        </w:numPr>
        <w:spacing w:before="120" w:after="120" w:line="288" w:lineRule="auto"/>
        <w:ind w:left="0"/>
        <w:jc w:val="left"/>
      </w:pPr>
      <w:r>
        <w:rPr>
          <w:rFonts w:eastAsia="等线" w:ascii="Arial" w:cs="Arial" w:hAnsi="Arial"/>
          <w:b w:val="true"/>
          <w:sz w:val="22"/>
        </w:rPr>
        <w:t>多目标优化的调度算法研究</w:t>
      </w:r>
      <w:r>
        <w:rPr>
          <w:rFonts w:eastAsia="等线" w:ascii="Arial" w:cs="Arial" w:hAnsi="Arial"/>
          <w:sz w:val="22"/>
        </w:rPr>
        <w:t>：考虑多个目标，如资源均衡性、服务质量、能源效率等，设计多目标优化的调度算法，实现更全面的资源优化。</w:t>
      </w:r>
    </w:p>
    <w:p>
      <w:pPr>
        <w:numPr>
          <w:numId w:val="115"/>
        </w:numPr>
        <w:spacing w:before="120" w:after="120" w:line="288" w:lineRule="auto"/>
        <w:ind w:left="0"/>
        <w:jc w:val="left"/>
      </w:pPr>
      <w:r>
        <w:rPr>
          <w:rFonts w:eastAsia="等线" w:ascii="Arial" w:cs="Arial" w:hAnsi="Arial"/>
          <w:b w:val="true"/>
          <w:sz w:val="22"/>
        </w:rPr>
        <w:t>考虑网络拓扑的热点分散策略</w:t>
      </w:r>
      <w:r>
        <w:rPr>
          <w:rFonts w:eastAsia="等线" w:ascii="Arial" w:cs="Arial" w:hAnsi="Arial"/>
          <w:sz w:val="22"/>
        </w:rPr>
        <w:t>：将网络拓扑因素纳入调度决策，避免网络热点，提高系统整体性能。</w:t>
      </w:r>
    </w:p>
    <w:p>
      <w:pPr>
        <w:pStyle w:val="4"/>
        <w:spacing w:before="260" w:after="120" w:line="288" w:lineRule="auto"/>
        <w:ind w:left="0"/>
        <w:jc w:val="left"/>
        <w:outlineLvl w:val="3"/>
      </w:pPr>
      <w:bookmarkStart w:name="heading_44" w:id="44"/>
      <w:r>
        <w:rPr>
          <w:rFonts w:eastAsia="等线" w:ascii="Arial" w:cs="Arial" w:hAnsi="Arial"/>
          <w:b w:val="true"/>
          <w:sz w:val="28"/>
        </w:rPr>
        <w:t>5</w:t>
      </w:r>
      <w:r>
        <w:rPr>
          <w:rFonts w:eastAsia="等线" w:ascii="Arial" w:cs="Arial" w:hAnsi="Arial"/>
          <w:b w:val="true"/>
          <w:sz w:val="28"/>
        </w:rPr>
        <w:t>.2.3 协同机制进一步研究</w:t>
      </w:r>
      <w:bookmarkEnd w:id="44"/>
    </w:p>
    <w:p>
      <w:pPr>
        <w:spacing w:before="120" w:after="120" w:line="288" w:lineRule="auto"/>
        <w:ind w:left="0"/>
        <w:jc w:val="left"/>
      </w:pPr>
      <w:r>
        <w:rPr>
          <w:rFonts w:eastAsia="等线" w:ascii="Arial" w:cs="Arial" w:hAnsi="Arial"/>
          <w:sz w:val="22"/>
        </w:rPr>
        <w:t>协同机制还有许多方面值得深入研究：</w:t>
      </w:r>
    </w:p>
    <w:p>
      <w:pPr>
        <w:numPr>
          <w:numId w:val="116"/>
        </w:numPr>
        <w:spacing w:before="120" w:after="120" w:line="288" w:lineRule="auto"/>
        <w:ind w:left="0"/>
        <w:jc w:val="left"/>
      </w:pPr>
      <w:r>
        <w:rPr>
          <w:rFonts w:eastAsia="等线" w:ascii="Arial" w:cs="Arial" w:hAnsi="Arial"/>
          <w:b w:val="true"/>
          <w:sz w:val="22"/>
        </w:rPr>
        <w:t>更精细的资源画像与预测模型</w:t>
      </w:r>
      <w:r>
        <w:rPr>
          <w:rFonts w:eastAsia="等线" w:ascii="Arial" w:cs="Arial" w:hAnsi="Arial"/>
          <w:sz w:val="22"/>
        </w:rPr>
        <w:t>：开发更精细的资源画像技术和预测模型，提高资源需求预测的准确性，为协同机制提供更可靠的数据支持。</w:t>
      </w:r>
    </w:p>
    <w:p>
      <w:pPr>
        <w:numPr>
          <w:numId w:val="117"/>
        </w:numPr>
        <w:spacing w:before="120" w:after="120" w:line="288" w:lineRule="auto"/>
        <w:ind w:left="0"/>
        <w:jc w:val="left"/>
      </w:pPr>
      <w:r>
        <w:rPr>
          <w:rFonts w:eastAsia="等线" w:ascii="Arial" w:cs="Arial" w:hAnsi="Arial"/>
          <w:b w:val="true"/>
          <w:sz w:val="22"/>
        </w:rPr>
        <w:t>端到端自动化的资源管理系统</w:t>
      </w:r>
      <w:r>
        <w:rPr>
          <w:rFonts w:eastAsia="等线" w:ascii="Arial" w:cs="Arial" w:hAnsi="Arial"/>
          <w:sz w:val="22"/>
        </w:rPr>
        <w:t>：设计端到端自动化的资源管理系统，集成监控、分析、决策、执行等功能，实现资源管理的全流程自动化。</w:t>
      </w:r>
    </w:p>
    <w:p>
      <w:pPr>
        <w:numPr>
          <w:numId w:val="118"/>
        </w:numPr>
        <w:spacing w:before="120" w:after="120" w:line="288" w:lineRule="auto"/>
        <w:ind w:left="0"/>
        <w:jc w:val="left"/>
      </w:pPr>
      <w:r>
        <w:rPr>
          <w:rFonts w:eastAsia="等线" w:ascii="Arial" w:cs="Arial" w:hAnsi="Arial"/>
          <w:b w:val="true"/>
          <w:sz w:val="22"/>
        </w:rPr>
        <w:t>多集群环境下的全局资源优化策略</w:t>
      </w:r>
      <w:r>
        <w:rPr>
          <w:rFonts w:eastAsia="等线" w:ascii="Arial" w:cs="Arial" w:hAnsi="Arial"/>
          <w:sz w:val="22"/>
        </w:rPr>
        <w:t>：研究多集群环境下的资源协同优化，实现跨集群的资源均衡和利用率提升。</w:t>
      </w:r>
    </w:p>
    <w:p>
      <w:pPr>
        <w:pStyle w:val="4"/>
        <w:spacing w:before="260" w:after="120" w:line="288" w:lineRule="auto"/>
        <w:ind w:left="0"/>
        <w:jc w:val="left"/>
        <w:outlineLvl w:val="3"/>
      </w:pPr>
      <w:bookmarkStart w:name="heading_45" w:id="45"/>
      <w:r>
        <w:rPr>
          <w:rFonts w:eastAsia="等线" w:ascii="Arial" w:cs="Arial" w:hAnsi="Arial"/>
          <w:b w:val="true"/>
          <w:sz w:val="28"/>
        </w:rPr>
        <w:t>5</w:t>
      </w:r>
      <w:r>
        <w:rPr>
          <w:rFonts w:eastAsia="等线" w:ascii="Arial" w:cs="Arial" w:hAnsi="Arial"/>
          <w:b w:val="true"/>
          <w:sz w:val="28"/>
        </w:rPr>
        <w:t>.2.4 扩展应用场景</w:t>
      </w:r>
      <w:bookmarkEnd w:id="45"/>
    </w:p>
    <w:p>
      <w:pPr>
        <w:spacing w:before="120" w:after="120" w:line="288" w:lineRule="auto"/>
        <w:ind w:left="0"/>
        <w:jc w:val="left"/>
      </w:pPr>
      <w:r>
        <w:rPr>
          <w:rFonts w:eastAsia="等线" w:ascii="Arial" w:cs="Arial" w:hAnsi="Arial"/>
          <w:sz w:val="22"/>
        </w:rPr>
        <w:t>协同机制的应用场景可以进一步扩展：</w:t>
      </w:r>
    </w:p>
    <w:p>
      <w:pPr>
        <w:numPr>
          <w:numId w:val="119"/>
        </w:numPr>
        <w:spacing w:before="120" w:after="120" w:line="288" w:lineRule="auto"/>
        <w:ind w:left="0"/>
        <w:jc w:val="left"/>
      </w:pPr>
      <w:r>
        <w:rPr>
          <w:rFonts w:eastAsia="等线" w:ascii="Arial" w:cs="Arial" w:hAnsi="Arial"/>
          <w:b w:val="true"/>
          <w:sz w:val="22"/>
        </w:rPr>
        <w:t>边缘计算环境中的资源调度与超售</w:t>
      </w:r>
      <w:r>
        <w:rPr>
          <w:rFonts w:eastAsia="等线" w:ascii="Arial" w:cs="Arial" w:hAnsi="Arial"/>
          <w:sz w:val="22"/>
        </w:rPr>
        <w:t>：研究边缘计算环境中的资源调度与超售策略，应对边缘计算的特殊挑战，如资源异构性、网络不稳定性等。</w:t>
      </w:r>
    </w:p>
    <w:p>
      <w:pPr>
        <w:numPr>
          <w:numId w:val="120"/>
        </w:numPr>
        <w:spacing w:before="120" w:after="120" w:line="288" w:lineRule="auto"/>
        <w:ind w:left="0"/>
        <w:jc w:val="left"/>
      </w:pPr>
      <w:r>
        <w:rPr>
          <w:rFonts w:eastAsia="等线" w:ascii="Arial" w:cs="Arial" w:hAnsi="Arial"/>
          <w:b w:val="true"/>
          <w:sz w:val="22"/>
        </w:rPr>
        <w:t>混合云环境下的资源协同优化</w:t>
      </w:r>
      <w:r>
        <w:rPr>
          <w:rFonts w:eastAsia="等线" w:ascii="Arial" w:cs="Arial" w:hAnsi="Arial"/>
          <w:sz w:val="22"/>
        </w:rPr>
        <w:t>：研究混合云环境下的资源协同优化策略，实现跨云平台的资源均衡和利用率提升。</w:t>
      </w:r>
    </w:p>
    <w:p>
      <w:pPr>
        <w:numPr>
          <w:numId w:val="121"/>
        </w:numPr>
        <w:spacing w:before="120" w:after="120" w:line="288" w:lineRule="auto"/>
        <w:ind w:left="0"/>
        <w:jc w:val="left"/>
      </w:pPr>
      <w:r>
        <w:rPr>
          <w:rFonts w:eastAsia="等线" w:ascii="Arial" w:cs="Arial" w:hAnsi="Arial"/>
          <w:b w:val="true"/>
          <w:sz w:val="22"/>
        </w:rPr>
        <w:t>针对特定工作负载类型的定制化策略</w:t>
      </w:r>
      <w:r>
        <w:rPr>
          <w:rFonts w:eastAsia="等线" w:ascii="Arial" w:cs="Arial" w:hAnsi="Arial"/>
          <w:sz w:val="22"/>
        </w:rPr>
        <w:t>：研究针对特定工作负载类型（如AI训练、大数据处理、微服务等）的定制化资源管理策略，提高特定场景下的资源利用效率。</w:t>
      </w:r>
    </w:p>
    <w:p>
      <w:pPr>
        <w:spacing w:before="120" w:after="120" w:line="288" w:lineRule="auto"/>
        <w:ind w:left="0"/>
        <w:jc w:val="left"/>
      </w:pPr>
      <w:r>
        <w:rPr>
          <w:rFonts w:eastAsia="等线" w:ascii="Arial" w:cs="Arial" w:hAnsi="Arial"/>
          <w:sz w:val="22"/>
        </w:rPr>
        <w:t>这些未来工作方向将进一步推动云计算资源管理技术的发展，为提高资源利用效率、降低运营成本、提升服务质量提供更加有效的解决方案。</w:t>
      </w:r>
    </w:p>
    <w:p>
      <w:pPr>
        <w:pStyle w:val="2"/>
        <w:spacing w:before="320" w:after="120" w:line="288" w:lineRule="auto"/>
        <w:ind w:left="0"/>
        <w:jc w:val="left"/>
        <w:outlineLvl w:val="1"/>
      </w:pPr>
      <w:bookmarkStart w:name="heading_46" w:id="46"/>
      <w:r>
        <w:rPr>
          <w:rFonts w:eastAsia="等线" w:ascii="Arial" w:cs="Arial" w:hAnsi="Arial"/>
          <w:b w:val="true"/>
          <w:sz w:val="32"/>
        </w:rPr>
        <w:t>参考文献</w:t>
      </w:r>
      <w:bookmarkEnd w:id="46"/>
    </w:p>
    <w:p>
      <w:pPr>
        <w:spacing w:before="120" w:after="120" w:line="288" w:lineRule="auto"/>
        <w:ind w:left="0"/>
        <w:jc w:val="left"/>
      </w:pPr>
      <w:r>
        <w:rPr>
          <w:rFonts w:eastAsia="等线" w:ascii="Arial" w:cs="Arial" w:hAnsi="Arial"/>
          <w:sz w:val="22"/>
        </w:rPr>
        <w:t>[</w:t>
      </w:r>
      <w:r>
        <w:rPr>
          <w:rFonts w:eastAsia="等线" w:ascii="Arial" w:cs="Arial" w:hAnsi="Arial"/>
          <w:sz w:val="22"/>
        </w:rPr>
        <w:t>1] Wang Z, Zhu X, Singhal S. Utilization and SLO-based control for dynamic sizing of resource partitions[</w:t>
      </w:r>
      <w:r>
        <w:rPr>
          <w:rFonts w:eastAsia="等线" w:ascii="Arial" w:cs="Arial" w:hAnsi="Arial"/>
          <w:sz w:val="22"/>
        </w:rPr>
        <w:t>C</w:t>
      </w:r>
      <w:r>
        <w:rPr>
          <w:rFonts w:eastAsia="等线" w:ascii="Arial" w:cs="Arial" w:hAnsi="Arial"/>
          <w:sz w:val="22"/>
        </w:rPr>
        <w:t>]//IFIP/IEEE International Workshop on Distributed Systems: Operations and Management. Springer, 2005: 133-144.</w:t>
      </w:r>
    </w:p>
    <w:p>
      <w:pPr>
        <w:spacing w:before="120" w:after="120" w:line="288" w:lineRule="auto"/>
        <w:ind w:left="0"/>
        <w:jc w:val="left"/>
      </w:pPr>
      <w:r>
        <w:rPr>
          <w:rFonts w:eastAsia="等线" w:ascii="Arial" w:cs="Arial" w:hAnsi="Arial"/>
          <w:sz w:val="22"/>
        </w:rPr>
        <w:t>[</w:t>
      </w:r>
      <w:r>
        <w:rPr>
          <w:rFonts w:eastAsia="等线" w:ascii="Arial" w:cs="Arial" w:hAnsi="Arial"/>
          <w:sz w:val="22"/>
        </w:rPr>
        <w:t>2] Beloglazov A, Buyya R. Optimal online deterministic algorithms and adaptive heuristics for energy and performance efficient dynamic consolidation of virtual machines in cloud data centers[</w:t>
      </w:r>
      <w:r>
        <w:rPr>
          <w:rFonts w:eastAsia="等线" w:ascii="Arial" w:cs="Arial" w:hAnsi="Arial"/>
          <w:sz w:val="22"/>
        </w:rPr>
        <w:t>J</w:t>
      </w:r>
      <w:r>
        <w:rPr>
          <w:rFonts w:eastAsia="等线" w:ascii="Arial" w:cs="Arial" w:hAnsi="Arial"/>
          <w:sz w:val="22"/>
        </w:rPr>
        <w:t>]. Concurrency and Computation: Practice and Experience, 2012, 24(13): 1397-1420.</w:t>
      </w:r>
    </w:p>
    <w:p>
      <w:pPr>
        <w:spacing w:before="120" w:after="120" w:line="288" w:lineRule="auto"/>
        <w:ind w:left="0"/>
        <w:jc w:val="left"/>
      </w:pPr>
      <w:r>
        <w:rPr>
          <w:rFonts w:eastAsia="等线" w:ascii="Arial" w:cs="Arial" w:hAnsi="Arial"/>
          <w:sz w:val="22"/>
        </w:rPr>
        <w:t>[</w:t>
      </w:r>
      <w:r>
        <w:rPr>
          <w:rFonts w:eastAsia="等线" w:ascii="Arial" w:cs="Arial" w:hAnsi="Arial"/>
          <w:sz w:val="22"/>
        </w:rPr>
        <w:t>3] Verma A, Pedrosa L, Korupolu M, et al. Large-scale cluster management at Google with Borg[</w:t>
      </w:r>
      <w:r>
        <w:rPr>
          <w:rFonts w:eastAsia="等线" w:ascii="Arial" w:cs="Arial" w:hAnsi="Arial"/>
          <w:sz w:val="22"/>
        </w:rPr>
        <w:t>C</w:t>
      </w:r>
      <w:r>
        <w:rPr>
          <w:rFonts w:eastAsia="等线" w:ascii="Arial" w:cs="Arial" w:hAnsi="Arial"/>
          <w:sz w:val="22"/>
        </w:rPr>
        <w:t>]//Proceedings of the 10th European Conference on Computer Systems. 2015: 1-17.</w:t>
      </w:r>
    </w:p>
    <w:p>
      <w:pPr>
        <w:spacing w:before="120" w:after="120" w:line="288" w:lineRule="auto"/>
        <w:ind w:left="0"/>
        <w:jc w:val="left"/>
      </w:pPr>
      <w:r>
        <w:rPr>
          <w:rFonts w:eastAsia="等线" w:ascii="Arial" w:cs="Arial" w:hAnsi="Arial"/>
          <w:sz w:val="22"/>
        </w:rPr>
        <w:t>[</w:t>
      </w:r>
      <w:r>
        <w:rPr>
          <w:rFonts w:eastAsia="等线" w:ascii="Arial" w:cs="Arial" w:hAnsi="Arial"/>
          <w:sz w:val="22"/>
        </w:rPr>
        <w:t>4] Cortez E, Bonde A, Muzio A, et al. Resource central: Understanding and predicting workloads for improved resource management in large cloud platforms[</w:t>
      </w:r>
      <w:r>
        <w:rPr>
          <w:rFonts w:eastAsia="等线" w:ascii="Arial" w:cs="Arial" w:hAnsi="Arial"/>
          <w:sz w:val="22"/>
        </w:rPr>
        <w:t>C</w:t>
      </w:r>
      <w:r>
        <w:rPr>
          <w:rFonts w:eastAsia="等线" w:ascii="Arial" w:cs="Arial" w:hAnsi="Arial"/>
          <w:sz w:val="22"/>
        </w:rPr>
        <w:t>]//Proceedings of the 26th Symposium on Operating Systems Principles. 2017: 153-167.</w:t>
      </w:r>
    </w:p>
    <w:p>
      <w:pPr>
        <w:spacing w:before="120" w:after="120" w:line="288" w:lineRule="auto"/>
        <w:ind w:left="0"/>
        <w:jc w:val="left"/>
      </w:pPr>
      <w:r>
        <w:rPr>
          <w:rFonts w:eastAsia="等线" w:ascii="Arial" w:cs="Arial" w:hAnsi="Arial"/>
          <w:sz w:val="22"/>
        </w:rPr>
        <w:t>[</w:t>
      </w:r>
      <w:r>
        <w:rPr>
          <w:rFonts w:eastAsia="等线" w:ascii="Arial" w:cs="Arial" w:hAnsi="Arial"/>
          <w:sz w:val="22"/>
        </w:rPr>
        <w:t>5] Delimitrou C, Kozyrakis C. Quasar: Resource-efficient and QoS-aware cluster management[</w:t>
      </w:r>
      <w:r>
        <w:rPr>
          <w:rFonts w:eastAsia="等线" w:ascii="Arial" w:cs="Arial" w:hAnsi="Arial"/>
          <w:sz w:val="22"/>
        </w:rPr>
        <w:t>C</w:t>
      </w:r>
      <w:r>
        <w:rPr>
          <w:rFonts w:eastAsia="等线" w:ascii="Arial" w:cs="Arial" w:hAnsi="Arial"/>
          <w:sz w:val="22"/>
        </w:rPr>
        <w:t>]//Proceedings of the 19th International Conference on Architectural Support for Programming Languages and Operating Systems. 2014: 127-144.</w:t>
      </w:r>
    </w:p>
    <w:p>
      <w:pPr>
        <w:spacing w:before="120" w:after="120" w:line="288" w:lineRule="auto"/>
        <w:ind w:left="0"/>
        <w:jc w:val="left"/>
      </w:pPr>
      <w:r>
        <w:rPr>
          <w:rFonts w:eastAsia="等线" w:ascii="Arial" w:cs="Arial" w:hAnsi="Arial"/>
          <w:sz w:val="22"/>
        </w:rPr>
        <w:t>[</w:t>
      </w:r>
      <w:r>
        <w:rPr>
          <w:rFonts w:eastAsia="等线" w:ascii="Arial" w:cs="Arial" w:hAnsi="Arial"/>
          <w:sz w:val="22"/>
        </w:rPr>
        <w:t>6] Boutin E, Ekanayake J, Lin W, et al. Apollo: Scalable and coordinated scheduling for cloud-scale computing[</w:t>
      </w:r>
      <w:r>
        <w:rPr>
          <w:rFonts w:eastAsia="等线" w:ascii="Arial" w:cs="Arial" w:hAnsi="Arial"/>
          <w:sz w:val="22"/>
        </w:rPr>
        <w:t>C</w:t>
      </w:r>
      <w:r>
        <w:rPr>
          <w:rFonts w:eastAsia="等线" w:ascii="Arial" w:cs="Arial" w:hAnsi="Arial"/>
          <w:sz w:val="22"/>
        </w:rPr>
        <w:t>]//11th USENIX Symposium on Operating Systems Design and Implementation. 2014: 285-300.</w:t>
      </w:r>
    </w:p>
    <w:p>
      <w:pPr>
        <w:spacing w:before="120" w:after="120" w:line="288" w:lineRule="auto"/>
        <w:ind w:left="0"/>
        <w:jc w:val="left"/>
      </w:pPr>
      <w:r>
        <w:rPr>
          <w:rFonts w:eastAsia="等线" w:ascii="Arial" w:cs="Arial" w:hAnsi="Arial"/>
          <w:sz w:val="22"/>
        </w:rPr>
        <w:t>[</w:t>
      </w:r>
      <w:r>
        <w:rPr>
          <w:rFonts w:eastAsia="等线" w:ascii="Arial" w:cs="Arial" w:hAnsi="Arial"/>
          <w:sz w:val="22"/>
        </w:rPr>
        <w:t>7] Chen H, Wang X, Wang Y. A survey on resource management in cloud computing[</w:t>
      </w:r>
      <w:r>
        <w:rPr>
          <w:rFonts w:eastAsia="等线" w:ascii="Arial" w:cs="Arial" w:hAnsi="Arial"/>
          <w:sz w:val="22"/>
        </w:rPr>
        <w:t>J</w:t>
      </w:r>
      <w:r>
        <w:rPr>
          <w:rFonts w:eastAsia="等线" w:ascii="Arial" w:cs="Arial" w:hAnsi="Arial"/>
          <w:sz w:val="22"/>
        </w:rPr>
        <w:t>]. ACM Computing Surveys, 2017, 50(3): 1-35.</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76695">
    <w:lvl>
      <w:start w:val="1"/>
      <w:numFmt w:val="decimal"/>
      <w:suff w:val="tab"/>
      <w:lvlText w:val="%1."/>
      <w:rPr>
        <w:color w:val="3370ff"/>
      </w:rPr>
    </w:lvl>
  </w:abstractNum>
  <w:abstractNum w:abstractNumId="376696">
    <w:lvl>
      <w:start w:val="2"/>
      <w:numFmt w:val="decimal"/>
      <w:suff w:val="tab"/>
      <w:lvlText w:val="%1."/>
      <w:rPr>
        <w:color w:val="3370ff"/>
      </w:rPr>
    </w:lvl>
  </w:abstractNum>
  <w:abstractNum w:abstractNumId="376697">
    <w:lvl>
      <w:start w:val="3"/>
      <w:numFmt w:val="decimal"/>
      <w:suff w:val="tab"/>
      <w:lvlText w:val="%1."/>
      <w:rPr>
        <w:color w:val="3370ff"/>
      </w:rPr>
    </w:lvl>
  </w:abstractNum>
  <w:abstractNum w:abstractNumId="376698">
    <w:lvl>
      <w:start w:val="4"/>
      <w:numFmt w:val="decimal"/>
      <w:suff w:val="tab"/>
      <w:lvlText w:val="%1."/>
      <w:rPr>
        <w:color w:val="3370ff"/>
      </w:rPr>
    </w:lvl>
  </w:abstractNum>
  <w:abstractNum w:abstractNumId="376699">
    <w:lvl>
      <w:start w:val="5"/>
      <w:numFmt w:val="decimal"/>
      <w:suff w:val="tab"/>
      <w:lvlText w:val="%1."/>
      <w:rPr>
        <w:color w:val="3370ff"/>
      </w:rPr>
    </w:lvl>
  </w:abstractNum>
  <w:abstractNum w:abstractNumId="376700">
    <w:lvl>
      <w:numFmt w:val="bullet"/>
      <w:suff w:val="tab"/>
      <w:lvlText w:val="•"/>
      <w:rPr>
        <w:color w:val="3370ff"/>
      </w:rPr>
    </w:lvl>
  </w:abstractNum>
  <w:abstractNum w:abstractNumId="376701">
    <w:lvl>
      <w:numFmt w:val="bullet"/>
      <w:suff w:val="tab"/>
      <w:lvlText w:val="•"/>
      <w:rPr>
        <w:color w:val="3370ff"/>
      </w:rPr>
    </w:lvl>
  </w:abstractNum>
  <w:abstractNum w:abstractNumId="376702">
    <w:lvl>
      <w:start w:val="1"/>
      <w:numFmt w:val="decimal"/>
      <w:suff w:val="tab"/>
      <w:lvlText w:val="%1."/>
      <w:rPr>
        <w:color w:val="3370ff"/>
      </w:rPr>
    </w:lvl>
  </w:abstractNum>
  <w:abstractNum w:abstractNumId="376703">
    <w:lvl>
      <w:start w:val="2"/>
      <w:numFmt w:val="decimal"/>
      <w:suff w:val="tab"/>
      <w:lvlText w:val="%1."/>
      <w:rPr>
        <w:color w:val="3370ff"/>
      </w:rPr>
    </w:lvl>
  </w:abstractNum>
  <w:abstractNum w:abstractNumId="376704">
    <w:lvl>
      <w:start w:val="1"/>
      <w:numFmt w:val="decimal"/>
      <w:suff w:val="tab"/>
      <w:lvlText w:val="%1."/>
      <w:rPr>
        <w:color w:val="3370ff"/>
      </w:rPr>
    </w:lvl>
  </w:abstractNum>
  <w:abstractNum w:abstractNumId="376705">
    <w:lvl>
      <w:start w:val="2"/>
      <w:numFmt w:val="decimal"/>
      <w:suff w:val="tab"/>
      <w:lvlText w:val="%1."/>
      <w:rPr>
        <w:color w:val="3370ff"/>
      </w:rPr>
    </w:lvl>
  </w:abstractNum>
  <w:abstractNum w:abstractNumId="376706">
    <w:lvl>
      <w:start w:val="3"/>
      <w:numFmt w:val="decimal"/>
      <w:suff w:val="tab"/>
      <w:lvlText w:val="%1."/>
      <w:rPr>
        <w:color w:val="3370ff"/>
      </w:rPr>
    </w:lvl>
  </w:abstractNum>
  <w:abstractNum w:abstractNumId="376707">
    <w:lvl>
      <w:numFmt w:val="bullet"/>
      <w:suff w:val="tab"/>
      <w:lvlText w:val="•"/>
      <w:rPr>
        <w:color w:val="3370ff"/>
      </w:rPr>
    </w:lvl>
  </w:abstractNum>
  <w:abstractNum w:abstractNumId="376708">
    <w:lvl>
      <w:numFmt w:val="bullet"/>
      <w:suff w:val="tab"/>
      <w:lvlText w:val="•"/>
      <w:rPr>
        <w:color w:val="3370ff"/>
      </w:rPr>
    </w:lvl>
  </w:abstractNum>
  <w:abstractNum w:abstractNumId="376709">
    <w:lvl>
      <w:numFmt w:val="bullet"/>
      <w:suff w:val="tab"/>
      <w:lvlText w:val="•"/>
      <w:rPr>
        <w:color w:val="3370ff"/>
      </w:rPr>
    </w:lvl>
  </w:abstractNum>
  <w:abstractNum w:abstractNumId="376710">
    <w:lvl>
      <w:start w:val="1"/>
      <w:numFmt w:val="decimal"/>
      <w:suff w:val="tab"/>
      <w:lvlText w:val="%1."/>
      <w:rPr>
        <w:color w:val="3370ff"/>
      </w:rPr>
    </w:lvl>
  </w:abstractNum>
  <w:abstractNum w:abstractNumId="376711">
    <w:lvl>
      <w:start w:val="2"/>
      <w:numFmt w:val="decimal"/>
      <w:suff w:val="tab"/>
      <w:lvlText w:val="%1."/>
      <w:rPr>
        <w:color w:val="3370ff"/>
      </w:rPr>
    </w:lvl>
  </w:abstractNum>
  <w:abstractNum w:abstractNumId="376712">
    <w:lvl>
      <w:start w:val="3"/>
      <w:numFmt w:val="decimal"/>
      <w:suff w:val="tab"/>
      <w:lvlText w:val="%1."/>
      <w:rPr>
        <w:color w:val="3370ff"/>
      </w:rPr>
    </w:lvl>
  </w:abstractNum>
  <w:abstractNum w:abstractNumId="376713">
    <w:lvl>
      <w:start w:val="1"/>
      <w:numFmt w:val="decimal"/>
      <w:suff w:val="tab"/>
      <w:lvlText w:val="%1."/>
      <w:rPr>
        <w:color w:val="3370ff"/>
      </w:rPr>
    </w:lvl>
  </w:abstractNum>
  <w:abstractNum w:abstractNumId="376714">
    <w:lvl>
      <w:start w:val="2"/>
      <w:numFmt w:val="decimal"/>
      <w:suff w:val="tab"/>
      <w:lvlText w:val="%1."/>
      <w:rPr>
        <w:color w:val="3370ff"/>
      </w:rPr>
    </w:lvl>
  </w:abstractNum>
  <w:abstractNum w:abstractNumId="376715">
    <w:lvl>
      <w:start w:val="3"/>
      <w:numFmt w:val="decimal"/>
      <w:suff w:val="tab"/>
      <w:lvlText w:val="%1."/>
      <w:rPr>
        <w:color w:val="3370ff"/>
      </w:rPr>
    </w:lvl>
  </w:abstractNum>
  <w:abstractNum w:abstractNumId="376716">
    <w:lvl>
      <w:start w:val="4"/>
      <w:numFmt w:val="decimal"/>
      <w:suff w:val="tab"/>
      <w:lvlText w:val="%1."/>
      <w:rPr>
        <w:color w:val="3370ff"/>
      </w:rPr>
    </w:lvl>
  </w:abstractNum>
  <w:abstractNum w:abstractNumId="376717">
    <w:lvl>
      <w:start w:val="5"/>
      <w:numFmt w:val="decimal"/>
      <w:suff w:val="tab"/>
      <w:lvlText w:val="%1."/>
      <w:rPr>
        <w:color w:val="3370ff"/>
      </w:rPr>
    </w:lvl>
  </w:abstractNum>
  <w:abstractNum w:abstractNumId="376718">
    <w:lvl>
      <w:start w:val="1"/>
      <w:numFmt w:val="decimal"/>
      <w:suff w:val="tab"/>
      <w:lvlText w:val="%1."/>
      <w:rPr>
        <w:color w:val="3370ff"/>
      </w:rPr>
    </w:lvl>
  </w:abstractNum>
  <w:abstractNum w:abstractNumId="376719">
    <w:lvl>
      <w:start w:val="2"/>
      <w:numFmt w:val="decimal"/>
      <w:suff w:val="tab"/>
      <w:lvlText w:val="%1."/>
      <w:rPr>
        <w:color w:val="3370ff"/>
      </w:rPr>
    </w:lvl>
  </w:abstractNum>
  <w:abstractNum w:abstractNumId="376720">
    <w:lvl>
      <w:start w:val="3"/>
      <w:numFmt w:val="decimal"/>
      <w:suff w:val="tab"/>
      <w:lvlText w:val="%1."/>
      <w:rPr>
        <w:color w:val="3370ff"/>
      </w:rPr>
    </w:lvl>
  </w:abstractNum>
  <w:abstractNum w:abstractNumId="376721">
    <w:lvl>
      <w:numFmt w:val="bullet"/>
      <w:suff w:val="tab"/>
      <w:lvlText w:val="•"/>
      <w:rPr>
        <w:color w:val="3370ff"/>
      </w:rPr>
    </w:lvl>
  </w:abstractNum>
  <w:abstractNum w:abstractNumId="376722">
    <w:lvl>
      <w:numFmt w:val="bullet"/>
      <w:suff w:val="tab"/>
      <w:lvlText w:val="•"/>
      <w:rPr>
        <w:color w:val="3370ff"/>
      </w:rPr>
    </w:lvl>
  </w:abstractNum>
  <w:abstractNum w:abstractNumId="376723">
    <w:lvl>
      <w:start w:val="1"/>
      <w:numFmt w:val="decimal"/>
      <w:suff w:val="tab"/>
      <w:lvlText w:val="%1."/>
      <w:rPr>
        <w:color w:val="3370ff"/>
      </w:rPr>
    </w:lvl>
  </w:abstractNum>
  <w:abstractNum w:abstractNumId="376724">
    <w:lvl>
      <w:start w:val="2"/>
      <w:numFmt w:val="decimal"/>
      <w:suff w:val="tab"/>
      <w:lvlText w:val="%1."/>
      <w:rPr>
        <w:color w:val="3370ff"/>
      </w:rPr>
    </w:lvl>
  </w:abstractNum>
  <w:abstractNum w:abstractNumId="376725">
    <w:lvl>
      <w:start w:val="1"/>
      <w:numFmt w:val="decimal"/>
      <w:suff w:val="tab"/>
      <w:lvlText w:val="%1."/>
      <w:rPr>
        <w:color w:val="3370ff"/>
      </w:rPr>
    </w:lvl>
  </w:abstractNum>
  <w:abstractNum w:abstractNumId="376726">
    <w:lvl>
      <w:numFmt w:val="bullet"/>
      <w:suff w:val="tab"/>
      <w:lvlText w:val="￮"/>
      <w:rPr>
        <w:color w:val="3370ff"/>
      </w:rPr>
    </w:lvl>
  </w:abstractNum>
  <w:abstractNum w:abstractNumId="376727">
    <w:lvl>
      <w:numFmt w:val="bullet"/>
      <w:suff w:val="tab"/>
      <w:lvlText w:val="￮"/>
      <w:rPr>
        <w:color w:val="3370ff"/>
      </w:rPr>
    </w:lvl>
  </w:abstractNum>
  <w:abstractNum w:abstractNumId="376728">
    <w:lvl>
      <w:numFmt w:val="bullet"/>
      <w:suff w:val="tab"/>
      <w:lvlText w:val="￮"/>
      <w:rPr>
        <w:color w:val="3370ff"/>
      </w:rPr>
    </w:lvl>
  </w:abstractNum>
  <w:abstractNum w:abstractNumId="376729">
    <w:lvl>
      <w:start w:val="2"/>
      <w:numFmt w:val="decimal"/>
      <w:suff w:val="tab"/>
      <w:lvlText w:val="%1."/>
      <w:rPr>
        <w:color w:val="3370ff"/>
      </w:rPr>
    </w:lvl>
  </w:abstractNum>
  <w:abstractNum w:abstractNumId="376730">
    <w:lvl>
      <w:numFmt w:val="bullet"/>
      <w:suff w:val="tab"/>
      <w:lvlText w:val="￮"/>
      <w:rPr>
        <w:color w:val="3370ff"/>
      </w:rPr>
    </w:lvl>
  </w:abstractNum>
  <w:abstractNum w:abstractNumId="376731">
    <w:lvl>
      <w:numFmt w:val="bullet"/>
      <w:suff w:val="tab"/>
      <w:lvlText w:val="￮"/>
      <w:rPr>
        <w:color w:val="3370ff"/>
      </w:rPr>
    </w:lvl>
  </w:abstractNum>
  <w:abstractNum w:abstractNumId="376732">
    <w:lvl>
      <w:numFmt w:val="bullet"/>
      <w:suff w:val="tab"/>
      <w:lvlText w:val="￮"/>
      <w:rPr>
        <w:color w:val="3370ff"/>
      </w:rPr>
    </w:lvl>
  </w:abstractNum>
  <w:abstractNum w:abstractNumId="376733">
    <w:lvl>
      <w:start w:val="1"/>
      <w:numFmt w:val="decimal"/>
      <w:suff w:val="tab"/>
      <w:lvlText w:val="%1."/>
      <w:rPr>
        <w:color w:val="3370ff"/>
      </w:rPr>
    </w:lvl>
  </w:abstractNum>
  <w:abstractNum w:abstractNumId="376734">
    <w:lvl>
      <w:start w:val="2"/>
      <w:numFmt w:val="decimal"/>
      <w:suff w:val="tab"/>
      <w:lvlText w:val="%1."/>
      <w:rPr>
        <w:color w:val="3370ff"/>
      </w:rPr>
    </w:lvl>
  </w:abstractNum>
  <w:abstractNum w:abstractNumId="376735">
    <w:lvl>
      <w:start w:val="1"/>
      <w:numFmt w:val="decimal"/>
      <w:suff w:val="tab"/>
      <w:lvlText w:val="%1."/>
      <w:rPr>
        <w:color w:val="3370ff"/>
      </w:rPr>
    </w:lvl>
  </w:abstractNum>
  <w:abstractNum w:abstractNumId="376736">
    <w:lvl>
      <w:start w:val="2"/>
      <w:numFmt w:val="decimal"/>
      <w:suff w:val="tab"/>
      <w:lvlText w:val="%1."/>
      <w:rPr>
        <w:color w:val="3370ff"/>
      </w:rPr>
    </w:lvl>
  </w:abstractNum>
  <w:abstractNum w:abstractNumId="376737">
    <w:lvl>
      <w:start w:val="3"/>
      <w:numFmt w:val="decimal"/>
      <w:suff w:val="tab"/>
      <w:lvlText w:val="%1."/>
      <w:rPr>
        <w:color w:val="3370ff"/>
      </w:rPr>
    </w:lvl>
  </w:abstractNum>
  <w:abstractNum w:abstractNumId="376738">
    <w:lvl>
      <w:start w:val="1"/>
      <w:numFmt w:val="decimal"/>
      <w:suff w:val="tab"/>
      <w:lvlText w:val="%1."/>
      <w:rPr>
        <w:color w:val="3370ff"/>
      </w:rPr>
    </w:lvl>
  </w:abstractNum>
  <w:abstractNum w:abstractNumId="376739">
    <w:lvl>
      <w:start w:val="2"/>
      <w:numFmt w:val="decimal"/>
      <w:suff w:val="tab"/>
      <w:lvlText w:val="%1."/>
      <w:rPr>
        <w:color w:val="3370ff"/>
      </w:rPr>
    </w:lvl>
  </w:abstractNum>
  <w:abstractNum w:abstractNumId="376740">
    <w:lvl>
      <w:start w:val="1"/>
      <w:numFmt w:val="decimal"/>
      <w:suff w:val="tab"/>
      <w:lvlText w:val="%1."/>
      <w:rPr>
        <w:color w:val="3370ff"/>
      </w:rPr>
    </w:lvl>
  </w:abstractNum>
  <w:abstractNum w:abstractNumId="376741">
    <w:lvl>
      <w:start w:val="2"/>
      <w:numFmt w:val="decimal"/>
      <w:suff w:val="tab"/>
      <w:lvlText w:val="%1."/>
      <w:rPr>
        <w:color w:val="3370ff"/>
      </w:rPr>
    </w:lvl>
  </w:abstractNum>
  <w:abstractNum w:abstractNumId="376742">
    <w:lvl>
      <w:start w:val="3"/>
      <w:numFmt w:val="decimal"/>
      <w:suff w:val="tab"/>
      <w:lvlText w:val="%1."/>
      <w:rPr>
        <w:color w:val="3370ff"/>
      </w:rPr>
    </w:lvl>
  </w:abstractNum>
  <w:abstractNum w:abstractNumId="376743">
    <w:lvl>
      <w:start w:val="4"/>
      <w:numFmt w:val="decimal"/>
      <w:suff w:val="tab"/>
      <w:lvlText w:val="%1."/>
      <w:rPr>
        <w:color w:val="3370ff"/>
      </w:rPr>
    </w:lvl>
  </w:abstractNum>
  <w:abstractNum w:abstractNumId="376744">
    <w:lvl>
      <w:start w:val="5"/>
      <w:numFmt w:val="decimal"/>
      <w:suff w:val="tab"/>
      <w:lvlText w:val="%1."/>
      <w:rPr>
        <w:color w:val="3370ff"/>
      </w:rPr>
    </w:lvl>
  </w:abstractNum>
  <w:abstractNum w:abstractNumId="376745">
    <w:lvl>
      <w:start w:val="1"/>
      <w:numFmt w:val="decimal"/>
      <w:suff w:val="tab"/>
      <w:lvlText w:val="%1."/>
      <w:rPr>
        <w:color w:val="3370ff"/>
      </w:rPr>
    </w:lvl>
  </w:abstractNum>
  <w:abstractNum w:abstractNumId="376746">
    <w:lvl>
      <w:start w:val="2"/>
      <w:numFmt w:val="decimal"/>
      <w:suff w:val="tab"/>
      <w:lvlText w:val="%1."/>
      <w:rPr>
        <w:color w:val="3370ff"/>
      </w:rPr>
    </w:lvl>
  </w:abstractNum>
  <w:abstractNum w:abstractNumId="376747">
    <w:lvl>
      <w:start w:val="3"/>
      <w:numFmt w:val="decimal"/>
      <w:suff w:val="tab"/>
      <w:lvlText w:val="%1."/>
      <w:rPr>
        <w:color w:val="3370ff"/>
      </w:rPr>
    </w:lvl>
  </w:abstractNum>
  <w:abstractNum w:abstractNumId="376748">
    <w:lvl>
      <w:start w:val="4"/>
      <w:numFmt w:val="decimal"/>
      <w:suff w:val="tab"/>
      <w:lvlText w:val="%1."/>
      <w:rPr>
        <w:color w:val="3370ff"/>
      </w:rPr>
    </w:lvl>
  </w:abstractNum>
  <w:abstractNum w:abstractNumId="376749">
    <w:lvl>
      <w:start w:val="5"/>
      <w:numFmt w:val="decimal"/>
      <w:suff w:val="tab"/>
      <w:lvlText w:val="%1."/>
      <w:rPr>
        <w:color w:val="3370ff"/>
      </w:rPr>
    </w:lvl>
  </w:abstractNum>
  <w:abstractNum w:abstractNumId="376750">
    <w:lvl>
      <w:start w:val="1"/>
      <w:numFmt w:val="decimal"/>
      <w:suff w:val="tab"/>
      <w:lvlText w:val="%1."/>
      <w:rPr>
        <w:color w:val="3370ff"/>
      </w:rPr>
    </w:lvl>
  </w:abstractNum>
  <w:abstractNum w:abstractNumId="376751">
    <w:lvl>
      <w:start w:val="2"/>
      <w:numFmt w:val="decimal"/>
      <w:suff w:val="tab"/>
      <w:lvlText w:val="%1."/>
      <w:rPr>
        <w:color w:val="3370ff"/>
      </w:rPr>
    </w:lvl>
  </w:abstractNum>
  <w:abstractNum w:abstractNumId="376752">
    <w:lvl>
      <w:start w:val="3"/>
      <w:numFmt w:val="decimal"/>
      <w:suff w:val="tab"/>
      <w:lvlText w:val="%1."/>
      <w:rPr>
        <w:color w:val="3370ff"/>
      </w:rPr>
    </w:lvl>
  </w:abstractNum>
  <w:abstractNum w:abstractNumId="376753">
    <w:lvl>
      <w:start w:val="4"/>
      <w:numFmt w:val="decimal"/>
      <w:suff w:val="tab"/>
      <w:lvlText w:val="%1."/>
      <w:rPr>
        <w:color w:val="3370ff"/>
      </w:rPr>
    </w:lvl>
  </w:abstractNum>
  <w:abstractNum w:abstractNumId="376754">
    <w:lvl>
      <w:start w:val="5"/>
      <w:numFmt w:val="decimal"/>
      <w:suff w:val="tab"/>
      <w:lvlText w:val="%1."/>
      <w:rPr>
        <w:color w:val="3370ff"/>
      </w:rPr>
    </w:lvl>
  </w:abstractNum>
  <w:abstractNum w:abstractNumId="376755">
    <w:lvl>
      <w:start w:val="1"/>
      <w:numFmt w:val="decimal"/>
      <w:suff w:val="tab"/>
      <w:lvlText w:val="%1."/>
      <w:rPr>
        <w:color w:val="3370ff"/>
      </w:rPr>
    </w:lvl>
  </w:abstractNum>
  <w:abstractNum w:abstractNumId="376756">
    <w:lvl>
      <w:start w:val="2"/>
      <w:numFmt w:val="decimal"/>
      <w:suff w:val="tab"/>
      <w:lvlText w:val="%1."/>
      <w:rPr>
        <w:color w:val="3370ff"/>
      </w:rPr>
    </w:lvl>
  </w:abstractNum>
  <w:abstractNum w:abstractNumId="376757">
    <w:lvl>
      <w:start w:val="3"/>
      <w:numFmt w:val="decimal"/>
      <w:suff w:val="tab"/>
      <w:lvlText w:val="%1."/>
      <w:rPr>
        <w:color w:val="3370ff"/>
      </w:rPr>
    </w:lvl>
  </w:abstractNum>
  <w:abstractNum w:abstractNumId="376758">
    <w:lvl>
      <w:start w:val="4"/>
      <w:numFmt w:val="decimal"/>
      <w:suff w:val="tab"/>
      <w:lvlText w:val="%1."/>
      <w:rPr>
        <w:color w:val="3370ff"/>
      </w:rPr>
    </w:lvl>
  </w:abstractNum>
  <w:abstractNum w:abstractNumId="376759">
    <w:lvl>
      <w:start w:val="5"/>
      <w:numFmt w:val="decimal"/>
      <w:suff w:val="tab"/>
      <w:lvlText w:val="%1."/>
      <w:rPr>
        <w:color w:val="3370ff"/>
      </w:rPr>
    </w:lvl>
  </w:abstractNum>
  <w:abstractNum w:abstractNumId="376760">
    <w:lvl>
      <w:start w:val="1"/>
      <w:numFmt w:val="decimal"/>
      <w:suff w:val="tab"/>
      <w:lvlText w:val="%1."/>
      <w:rPr>
        <w:color w:val="3370ff"/>
      </w:rPr>
    </w:lvl>
  </w:abstractNum>
  <w:abstractNum w:abstractNumId="376761">
    <w:lvl>
      <w:start w:val="2"/>
      <w:numFmt w:val="decimal"/>
      <w:suff w:val="tab"/>
      <w:lvlText w:val="%1."/>
      <w:rPr>
        <w:color w:val="3370ff"/>
      </w:rPr>
    </w:lvl>
  </w:abstractNum>
  <w:abstractNum w:abstractNumId="376762">
    <w:lvl>
      <w:start w:val="3"/>
      <w:numFmt w:val="decimal"/>
      <w:suff w:val="tab"/>
      <w:lvlText w:val="%1."/>
      <w:rPr>
        <w:color w:val="3370ff"/>
      </w:rPr>
    </w:lvl>
  </w:abstractNum>
  <w:abstractNum w:abstractNumId="376763">
    <w:lvl>
      <w:start w:val="4"/>
      <w:numFmt w:val="decimal"/>
      <w:suff w:val="tab"/>
      <w:lvlText w:val="%1."/>
      <w:rPr>
        <w:color w:val="3370ff"/>
      </w:rPr>
    </w:lvl>
  </w:abstractNum>
  <w:abstractNum w:abstractNumId="376764">
    <w:lvl>
      <w:start w:val="5"/>
      <w:numFmt w:val="decimal"/>
      <w:suff w:val="tab"/>
      <w:lvlText w:val="%1."/>
      <w:rPr>
        <w:color w:val="3370ff"/>
      </w:rPr>
    </w:lvl>
  </w:abstractNum>
  <w:abstractNum w:abstractNumId="376765">
    <w:lvl>
      <w:start w:val="1"/>
      <w:numFmt w:val="decimal"/>
      <w:suff w:val="tab"/>
      <w:lvlText w:val="%1."/>
      <w:rPr>
        <w:color w:val="3370ff"/>
      </w:rPr>
    </w:lvl>
  </w:abstractNum>
  <w:abstractNum w:abstractNumId="376766">
    <w:lvl>
      <w:start w:val="2"/>
      <w:numFmt w:val="decimal"/>
      <w:suff w:val="tab"/>
      <w:lvlText w:val="%1."/>
      <w:rPr>
        <w:color w:val="3370ff"/>
      </w:rPr>
    </w:lvl>
  </w:abstractNum>
  <w:abstractNum w:abstractNumId="376767">
    <w:lvl>
      <w:start w:val="3"/>
      <w:numFmt w:val="decimal"/>
      <w:suff w:val="tab"/>
      <w:lvlText w:val="%1."/>
      <w:rPr>
        <w:color w:val="3370ff"/>
      </w:rPr>
    </w:lvl>
  </w:abstractNum>
  <w:abstractNum w:abstractNumId="376768">
    <w:lvl>
      <w:start w:val="4"/>
      <w:numFmt w:val="decimal"/>
      <w:suff w:val="tab"/>
      <w:lvlText w:val="%1."/>
      <w:rPr>
        <w:color w:val="3370ff"/>
      </w:rPr>
    </w:lvl>
  </w:abstractNum>
  <w:abstractNum w:abstractNumId="376769">
    <w:lvl>
      <w:start w:val="5"/>
      <w:numFmt w:val="decimal"/>
      <w:suff w:val="tab"/>
      <w:lvlText w:val="%1."/>
      <w:rPr>
        <w:color w:val="3370ff"/>
      </w:rPr>
    </w:lvl>
  </w:abstractNum>
  <w:abstractNum w:abstractNumId="376770">
    <w:lvl>
      <w:start w:val="1"/>
      <w:numFmt w:val="decimal"/>
      <w:suff w:val="tab"/>
      <w:lvlText w:val="%1."/>
      <w:rPr>
        <w:color w:val="3370ff"/>
      </w:rPr>
    </w:lvl>
  </w:abstractNum>
  <w:abstractNum w:abstractNumId="376771">
    <w:lvl>
      <w:start w:val="2"/>
      <w:numFmt w:val="decimal"/>
      <w:suff w:val="tab"/>
      <w:lvlText w:val="%1."/>
      <w:rPr>
        <w:color w:val="3370ff"/>
      </w:rPr>
    </w:lvl>
  </w:abstractNum>
  <w:abstractNum w:abstractNumId="376772">
    <w:lvl>
      <w:start w:val="3"/>
      <w:numFmt w:val="decimal"/>
      <w:suff w:val="tab"/>
      <w:lvlText w:val="%1."/>
      <w:rPr>
        <w:color w:val="3370ff"/>
      </w:rPr>
    </w:lvl>
  </w:abstractNum>
  <w:abstractNum w:abstractNumId="376773">
    <w:lvl>
      <w:start w:val="4"/>
      <w:numFmt w:val="decimal"/>
      <w:suff w:val="tab"/>
      <w:lvlText w:val="%1."/>
      <w:rPr>
        <w:color w:val="3370ff"/>
      </w:rPr>
    </w:lvl>
  </w:abstractNum>
  <w:abstractNum w:abstractNumId="376774">
    <w:lvl>
      <w:start w:val="5"/>
      <w:numFmt w:val="decimal"/>
      <w:suff w:val="tab"/>
      <w:lvlText w:val="%1."/>
      <w:rPr>
        <w:color w:val="3370ff"/>
      </w:rPr>
    </w:lvl>
  </w:abstractNum>
  <w:abstractNum w:abstractNumId="376775">
    <w:lvl>
      <w:start w:val="1"/>
      <w:numFmt w:val="decimal"/>
      <w:suff w:val="tab"/>
      <w:lvlText w:val="%1."/>
      <w:rPr>
        <w:color w:val="3370ff"/>
      </w:rPr>
    </w:lvl>
  </w:abstractNum>
  <w:abstractNum w:abstractNumId="376776">
    <w:lvl>
      <w:start w:val="2"/>
      <w:numFmt w:val="decimal"/>
      <w:suff w:val="tab"/>
      <w:lvlText w:val="%1."/>
      <w:rPr>
        <w:color w:val="3370ff"/>
      </w:rPr>
    </w:lvl>
  </w:abstractNum>
  <w:abstractNum w:abstractNumId="376777">
    <w:lvl>
      <w:start w:val="3"/>
      <w:numFmt w:val="decimal"/>
      <w:suff w:val="tab"/>
      <w:lvlText w:val="%1."/>
      <w:rPr>
        <w:color w:val="3370ff"/>
      </w:rPr>
    </w:lvl>
  </w:abstractNum>
  <w:abstractNum w:abstractNumId="376778">
    <w:lvl>
      <w:start w:val="4"/>
      <w:numFmt w:val="decimal"/>
      <w:suff w:val="tab"/>
      <w:lvlText w:val="%1."/>
      <w:rPr>
        <w:color w:val="3370ff"/>
      </w:rPr>
    </w:lvl>
  </w:abstractNum>
  <w:abstractNum w:abstractNumId="376779">
    <w:lvl>
      <w:start w:val="5"/>
      <w:numFmt w:val="decimal"/>
      <w:suff w:val="tab"/>
      <w:lvlText w:val="%1."/>
      <w:rPr>
        <w:color w:val="3370ff"/>
      </w:rPr>
    </w:lvl>
  </w:abstractNum>
  <w:abstractNum w:abstractNumId="376780">
    <w:lvl>
      <w:start w:val="1"/>
      <w:numFmt w:val="decimal"/>
      <w:suff w:val="tab"/>
      <w:lvlText w:val="%1."/>
      <w:rPr>
        <w:color w:val="3370ff"/>
      </w:rPr>
    </w:lvl>
  </w:abstractNum>
  <w:abstractNum w:abstractNumId="376781">
    <w:lvl>
      <w:start w:val="2"/>
      <w:numFmt w:val="decimal"/>
      <w:suff w:val="tab"/>
      <w:lvlText w:val="%1."/>
      <w:rPr>
        <w:color w:val="3370ff"/>
      </w:rPr>
    </w:lvl>
  </w:abstractNum>
  <w:abstractNum w:abstractNumId="376782">
    <w:lvl>
      <w:start w:val="3"/>
      <w:numFmt w:val="decimal"/>
      <w:suff w:val="tab"/>
      <w:lvlText w:val="%1."/>
      <w:rPr>
        <w:color w:val="3370ff"/>
      </w:rPr>
    </w:lvl>
  </w:abstractNum>
  <w:abstractNum w:abstractNumId="376783">
    <w:lvl>
      <w:start w:val="4"/>
      <w:numFmt w:val="decimal"/>
      <w:suff w:val="tab"/>
      <w:lvlText w:val="%1."/>
      <w:rPr>
        <w:color w:val="3370ff"/>
      </w:rPr>
    </w:lvl>
  </w:abstractNum>
  <w:abstractNum w:abstractNumId="376784">
    <w:lvl>
      <w:start w:val="5"/>
      <w:numFmt w:val="decimal"/>
      <w:suff w:val="tab"/>
      <w:lvlText w:val="%1."/>
      <w:rPr>
        <w:color w:val="3370ff"/>
      </w:rPr>
    </w:lvl>
  </w:abstractNum>
  <w:abstractNum w:abstractNumId="376785">
    <w:lvl>
      <w:start w:val="1"/>
      <w:numFmt w:val="decimal"/>
      <w:suff w:val="tab"/>
      <w:lvlText w:val="%1."/>
      <w:rPr>
        <w:color w:val="3370ff"/>
      </w:rPr>
    </w:lvl>
  </w:abstractNum>
  <w:abstractNum w:abstractNumId="376786">
    <w:lvl>
      <w:start w:val="2"/>
      <w:numFmt w:val="decimal"/>
      <w:suff w:val="tab"/>
      <w:lvlText w:val="%1."/>
      <w:rPr>
        <w:color w:val="3370ff"/>
      </w:rPr>
    </w:lvl>
  </w:abstractNum>
  <w:abstractNum w:abstractNumId="376787">
    <w:lvl>
      <w:start w:val="3"/>
      <w:numFmt w:val="decimal"/>
      <w:suff w:val="tab"/>
      <w:lvlText w:val="%1."/>
      <w:rPr>
        <w:color w:val="3370ff"/>
      </w:rPr>
    </w:lvl>
  </w:abstractNum>
  <w:abstractNum w:abstractNumId="376788">
    <w:lvl>
      <w:start w:val="4"/>
      <w:numFmt w:val="decimal"/>
      <w:suff w:val="tab"/>
      <w:lvlText w:val="%1."/>
      <w:rPr>
        <w:color w:val="3370ff"/>
      </w:rPr>
    </w:lvl>
  </w:abstractNum>
  <w:abstractNum w:abstractNumId="376789">
    <w:lvl>
      <w:start w:val="5"/>
      <w:numFmt w:val="decimal"/>
      <w:suff w:val="tab"/>
      <w:lvlText w:val="%1."/>
      <w:rPr>
        <w:color w:val="3370ff"/>
      </w:rPr>
    </w:lvl>
  </w:abstractNum>
  <w:abstractNum w:abstractNumId="376790">
    <w:lvl>
      <w:start w:val="1"/>
      <w:numFmt w:val="decimal"/>
      <w:suff w:val="tab"/>
      <w:lvlText w:val="%1."/>
      <w:rPr>
        <w:color w:val="3370ff"/>
      </w:rPr>
    </w:lvl>
  </w:abstractNum>
  <w:abstractNum w:abstractNumId="376791">
    <w:lvl>
      <w:start w:val="2"/>
      <w:numFmt w:val="decimal"/>
      <w:suff w:val="tab"/>
      <w:lvlText w:val="%1."/>
      <w:rPr>
        <w:color w:val="3370ff"/>
      </w:rPr>
    </w:lvl>
  </w:abstractNum>
  <w:abstractNum w:abstractNumId="376792">
    <w:lvl>
      <w:start w:val="3"/>
      <w:numFmt w:val="decimal"/>
      <w:suff w:val="tab"/>
      <w:lvlText w:val="%1."/>
      <w:rPr>
        <w:color w:val="3370ff"/>
      </w:rPr>
    </w:lvl>
  </w:abstractNum>
  <w:abstractNum w:abstractNumId="376793">
    <w:lvl>
      <w:start w:val="4"/>
      <w:numFmt w:val="decimal"/>
      <w:suff w:val="tab"/>
      <w:lvlText w:val="%1."/>
      <w:rPr>
        <w:color w:val="3370ff"/>
      </w:rPr>
    </w:lvl>
  </w:abstractNum>
  <w:abstractNum w:abstractNumId="376794">
    <w:lvl>
      <w:start w:val="5"/>
      <w:numFmt w:val="decimal"/>
      <w:suff w:val="tab"/>
      <w:lvlText w:val="%1."/>
      <w:rPr>
        <w:color w:val="3370ff"/>
      </w:rPr>
    </w:lvl>
  </w:abstractNum>
  <w:abstractNum w:abstractNumId="376795">
    <w:lvl>
      <w:start w:val="1"/>
      <w:numFmt w:val="decimal"/>
      <w:suff w:val="tab"/>
      <w:lvlText w:val="%1."/>
      <w:rPr>
        <w:color w:val="3370ff"/>
      </w:rPr>
    </w:lvl>
  </w:abstractNum>
  <w:abstractNum w:abstractNumId="376796">
    <w:lvl>
      <w:start w:val="2"/>
      <w:numFmt w:val="decimal"/>
      <w:suff w:val="tab"/>
      <w:lvlText w:val="%1."/>
      <w:rPr>
        <w:color w:val="3370ff"/>
      </w:rPr>
    </w:lvl>
  </w:abstractNum>
  <w:abstractNum w:abstractNumId="376797">
    <w:lvl>
      <w:start w:val="3"/>
      <w:numFmt w:val="decimal"/>
      <w:suff w:val="tab"/>
      <w:lvlText w:val="%1."/>
      <w:rPr>
        <w:color w:val="3370ff"/>
      </w:rPr>
    </w:lvl>
  </w:abstractNum>
  <w:abstractNum w:abstractNumId="376798">
    <w:lvl>
      <w:start w:val="1"/>
      <w:numFmt w:val="decimal"/>
      <w:suff w:val="tab"/>
      <w:lvlText w:val="%1."/>
      <w:rPr>
        <w:color w:val="3370ff"/>
      </w:rPr>
    </w:lvl>
  </w:abstractNum>
  <w:abstractNum w:abstractNumId="376799">
    <w:lvl>
      <w:start w:val="2"/>
      <w:numFmt w:val="decimal"/>
      <w:suff w:val="tab"/>
      <w:lvlText w:val="%1."/>
      <w:rPr>
        <w:color w:val="3370ff"/>
      </w:rPr>
    </w:lvl>
  </w:abstractNum>
  <w:abstractNum w:abstractNumId="376800">
    <w:lvl>
      <w:start w:val="3"/>
      <w:numFmt w:val="decimal"/>
      <w:suff w:val="tab"/>
      <w:lvlText w:val="%1."/>
      <w:rPr>
        <w:color w:val="3370ff"/>
      </w:rPr>
    </w:lvl>
  </w:abstractNum>
  <w:abstractNum w:abstractNumId="376801">
    <w:lvl>
      <w:start w:val="1"/>
      <w:numFmt w:val="decimal"/>
      <w:suff w:val="tab"/>
      <w:lvlText w:val="%1."/>
      <w:rPr>
        <w:color w:val="3370ff"/>
      </w:rPr>
    </w:lvl>
  </w:abstractNum>
  <w:abstractNum w:abstractNumId="376802">
    <w:lvl>
      <w:start w:val="2"/>
      <w:numFmt w:val="decimal"/>
      <w:suff w:val="tab"/>
      <w:lvlText w:val="%1."/>
      <w:rPr>
        <w:color w:val="3370ff"/>
      </w:rPr>
    </w:lvl>
  </w:abstractNum>
  <w:abstractNum w:abstractNumId="376803">
    <w:lvl>
      <w:start w:val="3"/>
      <w:numFmt w:val="decimal"/>
      <w:suff w:val="tab"/>
      <w:lvlText w:val="%1."/>
      <w:rPr>
        <w:color w:val="3370ff"/>
      </w:rPr>
    </w:lvl>
  </w:abstractNum>
  <w:abstractNum w:abstractNumId="376804">
    <w:lvl>
      <w:start w:val="1"/>
      <w:numFmt w:val="decimal"/>
      <w:suff w:val="tab"/>
      <w:lvlText w:val="%1."/>
      <w:rPr>
        <w:color w:val="3370ff"/>
      </w:rPr>
    </w:lvl>
  </w:abstractNum>
  <w:abstractNum w:abstractNumId="376805">
    <w:lvl>
      <w:start w:val="2"/>
      <w:numFmt w:val="decimal"/>
      <w:suff w:val="tab"/>
      <w:lvlText w:val="%1."/>
      <w:rPr>
        <w:color w:val="3370ff"/>
      </w:rPr>
    </w:lvl>
  </w:abstractNum>
  <w:abstractNum w:abstractNumId="376806">
    <w:lvl>
      <w:start w:val="3"/>
      <w:numFmt w:val="decimal"/>
      <w:suff w:val="tab"/>
      <w:lvlText w:val="%1."/>
      <w:rPr>
        <w:color w:val="3370ff"/>
      </w:rPr>
    </w:lvl>
  </w:abstractNum>
  <w:abstractNum w:abstractNumId="376807">
    <w:lvl>
      <w:start w:val="1"/>
      <w:numFmt w:val="decimal"/>
      <w:suff w:val="tab"/>
      <w:lvlText w:val="%1."/>
      <w:rPr>
        <w:color w:val="3370ff"/>
      </w:rPr>
    </w:lvl>
  </w:abstractNum>
  <w:abstractNum w:abstractNumId="376808">
    <w:lvl>
      <w:start w:val="2"/>
      <w:numFmt w:val="decimal"/>
      <w:suff w:val="tab"/>
      <w:lvlText w:val="%1."/>
      <w:rPr>
        <w:color w:val="3370ff"/>
      </w:rPr>
    </w:lvl>
  </w:abstractNum>
  <w:abstractNum w:abstractNumId="376809">
    <w:lvl>
      <w:start w:val="3"/>
      <w:numFmt w:val="decimal"/>
      <w:suff w:val="tab"/>
      <w:lvlText w:val="%1."/>
      <w:rPr>
        <w:color w:val="3370ff"/>
      </w:rPr>
    </w:lvl>
  </w:abstractNum>
  <w:abstractNum w:abstractNumId="376810">
    <w:lvl>
      <w:start w:val="1"/>
      <w:numFmt w:val="decimal"/>
      <w:suff w:val="tab"/>
      <w:lvlText w:val="%1."/>
      <w:rPr>
        <w:color w:val="3370ff"/>
      </w:rPr>
    </w:lvl>
  </w:abstractNum>
  <w:abstractNum w:abstractNumId="376811">
    <w:lvl>
      <w:start w:val="2"/>
      <w:numFmt w:val="decimal"/>
      <w:suff w:val="tab"/>
      <w:lvlText w:val="%1."/>
      <w:rPr>
        <w:color w:val="3370ff"/>
      </w:rPr>
    </w:lvl>
  </w:abstractNum>
  <w:abstractNum w:abstractNumId="376812">
    <w:lvl>
      <w:start w:val="3"/>
      <w:numFmt w:val="decimal"/>
      <w:suff w:val="tab"/>
      <w:lvlText w:val="%1."/>
      <w:rPr>
        <w:color w:val="3370ff"/>
      </w:rPr>
    </w:lvl>
  </w:abstractNum>
  <w:abstractNum w:abstractNumId="376813">
    <w:lvl>
      <w:start w:val="1"/>
      <w:numFmt w:val="decimal"/>
      <w:suff w:val="tab"/>
      <w:lvlText w:val="%1."/>
      <w:rPr>
        <w:color w:val="3370ff"/>
      </w:rPr>
    </w:lvl>
  </w:abstractNum>
  <w:abstractNum w:abstractNumId="376814">
    <w:lvl>
      <w:start w:val="2"/>
      <w:numFmt w:val="decimal"/>
      <w:suff w:val="tab"/>
      <w:lvlText w:val="%1."/>
      <w:rPr>
        <w:color w:val="3370ff"/>
      </w:rPr>
    </w:lvl>
  </w:abstractNum>
  <w:abstractNum w:abstractNumId="376815">
    <w:lvl>
      <w:start w:val="3"/>
      <w:numFmt w:val="decimal"/>
      <w:suff w:val="tab"/>
      <w:lvlText w:val="%1."/>
      <w:rPr>
        <w:color w:val="3370ff"/>
      </w:rPr>
    </w:lvl>
  </w:abstractNum>
  <w:num w:numId="1">
    <w:abstractNumId w:val="376695"/>
  </w:num>
  <w:num w:numId="2">
    <w:abstractNumId w:val="376696"/>
  </w:num>
  <w:num w:numId="3">
    <w:abstractNumId w:val="376697"/>
  </w:num>
  <w:num w:numId="4">
    <w:abstractNumId w:val="376698"/>
  </w:num>
  <w:num w:numId="5">
    <w:abstractNumId w:val="376699"/>
  </w:num>
  <w:num w:numId="6">
    <w:abstractNumId w:val="376700"/>
  </w:num>
  <w:num w:numId="7">
    <w:abstractNumId w:val="376701"/>
  </w:num>
  <w:num w:numId="8">
    <w:abstractNumId w:val="376702"/>
  </w:num>
  <w:num w:numId="9">
    <w:abstractNumId w:val="376703"/>
  </w:num>
  <w:num w:numId="10">
    <w:abstractNumId w:val="376704"/>
  </w:num>
  <w:num w:numId="11">
    <w:abstractNumId w:val="376705"/>
  </w:num>
  <w:num w:numId="12">
    <w:abstractNumId w:val="376706"/>
  </w:num>
  <w:num w:numId="13">
    <w:abstractNumId w:val="376707"/>
  </w:num>
  <w:num w:numId="14">
    <w:abstractNumId w:val="376708"/>
  </w:num>
  <w:num w:numId="15">
    <w:abstractNumId w:val="376709"/>
  </w:num>
  <w:num w:numId="16">
    <w:abstractNumId w:val="376710"/>
  </w:num>
  <w:num w:numId="17">
    <w:abstractNumId w:val="376711"/>
  </w:num>
  <w:num w:numId="18">
    <w:abstractNumId w:val="376712"/>
  </w:num>
  <w:num w:numId="19">
    <w:abstractNumId w:val="376713"/>
  </w:num>
  <w:num w:numId="20">
    <w:abstractNumId w:val="376714"/>
  </w:num>
  <w:num w:numId="21">
    <w:abstractNumId w:val="376715"/>
  </w:num>
  <w:num w:numId="22">
    <w:abstractNumId w:val="376716"/>
  </w:num>
  <w:num w:numId="23">
    <w:abstractNumId w:val="376717"/>
  </w:num>
  <w:num w:numId="24">
    <w:abstractNumId w:val="376718"/>
  </w:num>
  <w:num w:numId="25">
    <w:abstractNumId w:val="376719"/>
  </w:num>
  <w:num w:numId="26">
    <w:abstractNumId w:val="376720"/>
  </w:num>
  <w:num w:numId="27">
    <w:abstractNumId w:val="376721"/>
  </w:num>
  <w:num w:numId="28">
    <w:abstractNumId w:val="376722"/>
  </w:num>
  <w:num w:numId="29">
    <w:abstractNumId w:val="376723"/>
  </w:num>
  <w:num w:numId="30">
    <w:abstractNumId w:val="376724"/>
  </w:num>
  <w:num w:numId="31">
    <w:abstractNumId w:val="376725"/>
  </w:num>
  <w:num w:numId="32">
    <w:abstractNumId w:val="376726"/>
  </w:num>
  <w:num w:numId="33">
    <w:abstractNumId w:val="376727"/>
  </w:num>
  <w:num w:numId="34">
    <w:abstractNumId w:val="376728"/>
  </w:num>
  <w:num w:numId="35">
    <w:abstractNumId w:val="376729"/>
  </w:num>
  <w:num w:numId="36">
    <w:abstractNumId w:val="376730"/>
  </w:num>
  <w:num w:numId="37">
    <w:abstractNumId w:val="376731"/>
  </w:num>
  <w:num w:numId="38">
    <w:abstractNumId w:val="376732"/>
  </w:num>
  <w:num w:numId="39">
    <w:abstractNumId w:val="376733"/>
  </w:num>
  <w:num w:numId="40">
    <w:abstractNumId w:val="376734"/>
  </w:num>
  <w:num w:numId="41">
    <w:abstractNumId w:val="376735"/>
  </w:num>
  <w:num w:numId="42">
    <w:abstractNumId w:val="376736"/>
  </w:num>
  <w:num w:numId="43">
    <w:abstractNumId w:val="376737"/>
  </w:num>
  <w:num w:numId="44">
    <w:abstractNumId w:val="376738"/>
  </w:num>
  <w:num w:numId="45">
    <w:abstractNumId w:val="376739"/>
  </w:num>
  <w:num w:numId="46">
    <w:abstractNumId w:val="376740"/>
  </w:num>
  <w:num w:numId="47">
    <w:abstractNumId w:val="376741"/>
  </w:num>
  <w:num w:numId="48">
    <w:abstractNumId w:val="376742"/>
  </w:num>
  <w:num w:numId="49">
    <w:abstractNumId w:val="376743"/>
  </w:num>
  <w:num w:numId="50">
    <w:abstractNumId w:val="376744"/>
  </w:num>
  <w:num w:numId="51">
    <w:abstractNumId w:val="376745"/>
  </w:num>
  <w:num w:numId="52">
    <w:abstractNumId w:val="376746"/>
  </w:num>
  <w:num w:numId="53">
    <w:abstractNumId w:val="376747"/>
  </w:num>
  <w:num w:numId="54">
    <w:abstractNumId w:val="376748"/>
  </w:num>
  <w:num w:numId="55">
    <w:abstractNumId w:val="376749"/>
  </w:num>
  <w:num w:numId="56">
    <w:abstractNumId w:val="376750"/>
  </w:num>
  <w:num w:numId="57">
    <w:abstractNumId w:val="376751"/>
  </w:num>
  <w:num w:numId="58">
    <w:abstractNumId w:val="376752"/>
  </w:num>
  <w:num w:numId="59">
    <w:abstractNumId w:val="376753"/>
  </w:num>
  <w:num w:numId="60">
    <w:abstractNumId w:val="376754"/>
  </w:num>
  <w:num w:numId="61">
    <w:abstractNumId w:val="376755"/>
  </w:num>
  <w:num w:numId="62">
    <w:abstractNumId w:val="376756"/>
  </w:num>
  <w:num w:numId="63">
    <w:abstractNumId w:val="376757"/>
  </w:num>
  <w:num w:numId="64">
    <w:abstractNumId w:val="376758"/>
  </w:num>
  <w:num w:numId="65">
    <w:abstractNumId w:val="376759"/>
  </w:num>
  <w:num w:numId="66">
    <w:abstractNumId w:val="376760"/>
  </w:num>
  <w:num w:numId="67">
    <w:abstractNumId w:val="376761"/>
  </w:num>
  <w:num w:numId="68">
    <w:abstractNumId w:val="376762"/>
  </w:num>
  <w:num w:numId="69">
    <w:abstractNumId w:val="376763"/>
  </w:num>
  <w:num w:numId="70">
    <w:abstractNumId w:val="376764"/>
  </w:num>
  <w:num w:numId="71">
    <w:abstractNumId w:val="376765"/>
  </w:num>
  <w:num w:numId="72">
    <w:abstractNumId w:val="376766"/>
  </w:num>
  <w:num w:numId="73">
    <w:abstractNumId w:val="376767"/>
  </w:num>
  <w:num w:numId="74">
    <w:abstractNumId w:val="376768"/>
  </w:num>
  <w:num w:numId="75">
    <w:abstractNumId w:val="376769"/>
  </w:num>
  <w:num w:numId="76">
    <w:abstractNumId w:val="376770"/>
  </w:num>
  <w:num w:numId="77">
    <w:abstractNumId w:val="376771"/>
  </w:num>
  <w:num w:numId="78">
    <w:abstractNumId w:val="376772"/>
  </w:num>
  <w:num w:numId="79">
    <w:abstractNumId w:val="376773"/>
  </w:num>
  <w:num w:numId="80">
    <w:abstractNumId w:val="376774"/>
  </w:num>
  <w:num w:numId="81">
    <w:abstractNumId w:val="376775"/>
  </w:num>
  <w:num w:numId="82">
    <w:abstractNumId w:val="376776"/>
  </w:num>
  <w:num w:numId="83">
    <w:abstractNumId w:val="376777"/>
  </w:num>
  <w:num w:numId="84">
    <w:abstractNumId w:val="376778"/>
  </w:num>
  <w:num w:numId="85">
    <w:abstractNumId w:val="376779"/>
  </w:num>
  <w:num w:numId="86">
    <w:abstractNumId w:val="376780"/>
  </w:num>
  <w:num w:numId="87">
    <w:abstractNumId w:val="376781"/>
  </w:num>
  <w:num w:numId="88">
    <w:abstractNumId w:val="376782"/>
  </w:num>
  <w:num w:numId="89">
    <w:abstractNumId w:val="376783"/>
  </w:num>
  <w:num w:numId="90">
    <w:abstractNumId w:val="376784"/>
  </w:num>
  <w:num w:numId="91">
    <w:abstractNumId w:val="376785"/>
  </w:num>
  <w:num w:numId="92">
    <w:abstractNumId w:val="376786"/>
  </w:num>
  <w:num w:numId="93">
    <w:abstractNumId w:val="376787"/>
  </w:num>
  <w:num w:numId="94">
    <w:abstractNumId w:val="376788"/>
  </w:num>
  <w:num w:numId="95">
    <w:abstractNumId w:val="376789"/>
  </w:num>
  <w:num w:numId="96">
    <w:abstractNumId w:val="376790"/>
  </w:num>
  <w:num w:numId="97">
    <w:abstractNumId w:val="376791"/>
  </w:num>
  <w:num w:numId="98">
    <w:abstractNumId w:val="376792"/>
  </w:num>
  <w:num w:numId="99">
    <w:abstractNumId w:val="376793"/>
  </w:num>
  <w:num w:numId="100">
    <w:abstractNumId w:val="376794"/>
  </w:num>
  <w:num w:numId="101">
    <w:abstractNumId w:val="376795"/>
  </w:num>
  <w:num w:numId="102">
    <w:abstractNumId w:val="376796"/>
  </w:num>
  <w:num w:numId="103">
    <w:abstractNumId w:val="376797"/>
  </w:num>
  <w:num w:numId="104">
    <w:abstractNumId w:val="376798"/>
  </w:num>
  <w:num w:numId="105">
    <w:abstractNumId w:val="376799"/>
  </w:num>
  <w:num w:numId="106">
    <w:abstractNumId w:val="376800"/>
  </w:num>
  <w:num w:numId="107">
    <w:abstractNumId w:val="376801"/>
  </w:num>
  <w:num w:numId="108">
    <w:abstractNumId w:val="376802"/>
  </w:num>
  <w:num w:numId="109">
    <w:abstractNumId w:val="376803"/>
  </w:num>
  <w:num w:numId="110">
    <w:abstractNumId w:val="376804"/>
  </w:num>
  <w:num w:numId="111">
    <w:abstractNumId w:val="376805"/>
  </w:num>
  <w:num w:numId="112">
    <w:abstractNumId w:val="376806"/>
  </w:num>
  <w:num w:numId="113">
    <w:abstractNumId w:val="376807"/>
  </w:num>
  <w:num w:numId="114">
    <w:abstractNumId w:val="376808"/>
  </w:num>
  <w:num w:numId="115">
    <w:abstractNumId w:val="376809"/>
  </w:num>
  <w:num w:numId="116">
    <w:abstractNumId w:val="376810"/>
  </w:num>
  <w:num w:numId="117">
    <w:abstractNumId w:val="376811"/>
  </w:num>
  <w:num w:numId="118">
    <w:abstractNumId w:val="376812"/>
  </w:num>
  <w:num w:numId="119">
    <w:abstractNumId w:val="376813"/>
  </w:num>
  <w:num w:numId="120">
    <w:abstractNumId w:val="376814"/>
  </w:num>
  <w:num w:numId="121">
    <w:abstractNumId w:val="3768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2025-09-18T03:49:04Z</dcterms:created>
  <dc:creator>Apache POI</dc:creator>
</cp:coreProperties>
</file>