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BA80" w14:textId="6C615022" w:rsidR="001572D4" w:rsidRPr="00566188" w:rsidRDefault="001572D4" w:rsidP="002C7800">
      <w:pPr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</w:pP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1.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功能性需求與非功能性需求</w:t>
      </w:r>
    </w:p>
    <w:p w14:paraId="604CABA5" w14:textId="77777777" w:rsidR="00706340" w:rsidRPr="00566188" w:rsidRDefault="00706340" w:rsidP="002C7800">
      <w:pPr>
        <w:snapToGrid w:val="0"/>
        <w:rPr>
          <w:rFonts w:ascii="Arial" w:eastAsia="微軟正黑體" w:hAnsi="Arial"/>
          <w:b/>
          <w:bCs/>
          <w:color w:val="0070C0"/>
          <w:sz w:val="44"/>
          <w:szCs w:val="44"/>
        </w:rPr>
      </w:pPr>
      <w:r w:rsidRPr="00566188">
        <w:rPr>
          <w:rFonts w:ascii="Arial" w:eastAsia="微軟正黑體" w:hAnsi="Arial" w:hint="eastAsia"/>
          <w:b/>
          <w:bCs/>
          <w:color w:val="0070C0"/>
          <w:sz w:val="44"/>
          <w:szCs w:val="44"/>
        </w:rPr>
        <w:t>功能性</w:t>
      </w:r>
      <w:r w:rsidRPr="00566188">
        <w:rPr>
          <w:rFonts w:ascii="Arial" w:eastAsia="微軟正黑體" w:hAnsi="Arial" w:hint="eastAsia"/>
          <w:b/>
          <w:bCs/>
          <w:color w:val="0070C0"/>
          <w:sz w:val="44"/>
          <w:szCs w:val="44"/>
        </w:rPr>
        <w:t xml:space="preserve"> </w:t>
      </w:r>
    </w:p>
    <w:p w14:paraId="7861CF8D" w14:textId="77777777" w:rsidR="00321DBB" w:rsidRPr="00B448D2" w:rsidRDefault="00321DBB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初始介面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: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身分選擇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物流、客運、司機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)</w:t>
      </w:r>
    </w:p>
    <w:p w14:paraId="5B6442AA" w14:textId="77777777" w:rsidR="00321DBB" w:rsidRPr="00B448D2" w:rsidRDefault="00321DBB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登入介面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: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身分驗證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物流、客運、司機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)</w:t>
      </w:r>
    </w:p>
    <w:p w14:paraId="305E6A12" w14:textId="1B96FDF9" w:rsidR="00321DBB" w:rsidRPr="00B448D2" w:rsidRDefault="000F2F9D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>
        <w:rPr>
          <w:rFonts w:ascii="Arial" w:eastAsia="微軟正黑體" w:hAnsi="Arial" w:hint="eastAsia"/>
          <w:color w:val="0070C0"/>
          <w:sz w:val="32"/>
          <w:szCs w:val="32"/>
        </w:rPr>
        <w:t>不同身分進行登入後的頁面功能</w:t>
      </w:r>
    </w:p>
    <w:p w14:paraId="3118071C" w14:textId="2641E41D" w:rsidR="00321DBB" w:rsidRPr="00025702" w:rsidRDefault="00321DBB" w:rsidP="00025702">
      <w:pPr>
        <w:pStyle w:val="a4"/>
        <w:numPr>
          <w:ilvl w:val="0"/>
          <w:numId w:val="10"/>
        </w:numPr>
        <w:snapToGrid w:val="0"/>
        <w:ind w:leftChars="0" w:left="482" w:hanging="482"/>
        <w:textAlignment w:val="center"/>
        <w:rPr>
          <w:rFonts w:ascii="Arial" w:eastAsia="微軟正黑體" w:hAnsi="Arial"/>
          <w:color w:val="0070C0"/>
          <w:sz w:val="32"/>
          <w:szCs w:val="32"/>
        </w:rPr>
      </w:pPr>
      <w:r w:rsidRPr="00025702">
        <w:rPr>
          <w:rFonts w:ascii="Arial" w:eastAsia="微軟正黑體" w:hAnsi="Arial" w:hint="eastAsia"/>
          <w:color w:val="0070C0"/>
          <w:sz w:val="32"/>
          <w:szCs w:val="32"/>
        </w:rPr>
        <w:t>物流</w:t>
      </w:r>
      <w:r w:rsidRPr="00025702">
        <w:rPr>
          <w:rFonts w:ascii="Arial" w:eastAsia="微軟正黑體" w:hAnsi="Arial" w:hint="eastAsia"/>
          <w:color w:val="0070C0"/>
          <w:sz w:val="32"/>
          <w:szCs w:val="32"/>
        </w:rPr>
        <w:t>:</w:t>
      </w:r>
    </w:p>
    <w:p w14:paraId="72491EDB" w14:textId="77777777" w:rsidR="00025702" w:rsidRDefault="00321DBB" w:rsidP="002C50FE">
      <w:pPr>
        <w:snapToGrid w:val="0"/>
        <w:ind w:leftChars="413" w:left="991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訂單配送</w:t>
      </w:r>
      <w:r w:rsidR="00025702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顯示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-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訂單資訊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編號、時間、取貨地、目的地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)</w:t>
      </w:r>
    </w:p>
    <w:p w14:paraId="7B0654A3" w14:textId="5386B7E1" w:rsidR="00321DBB" w:rsidRPr="00B448D2" w:rsidRDefault="00321DBB" w:rsidP="002C50FE">
      <w:pPr>
        <w:snapToGrid w:val="0"/>
        <w:ind w:leftChars="1063" w:left="2552" w:hanging="1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選擇需配送的訂單</w:t>
      </w:r>
    </w:p>
    <w:p w14:paraId="3CE9E7D4" w14:textId="35FE8C9A" w:rsidR="00321DBB" w:rsidRPr="00B448D2" w:rsidRDefault="00321DBB" w:rsidP="002C50FE">
      <w:pPr>
        <w:snapToGrid w:val="0"/>
        <w:ind w:leftChars="413" w:left="991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回報系統</w:t>
      </w:r>
      <w:r w:rsidR="00025702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接收到客運拒絕的訂單，並顯示其資訊</w:t>
      </w:r>
    </w:p>
    <w:p w14:paraId="746F8F19" w14:textId="1EEEED57" w:rsidR="00C02696" w:rsidRDefault="00321DBB" w:rsidP="002C50FE">
      <w:pPr>
        <w:snapToGrid w:val="0"/>
        <w:ind w:leftChars="413" w:left="991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靜態貨物追蹤</w:t>
      </w:r>
      <w:r w:rsidR="00025702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顯示貨物狀況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(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已收貨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/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已送達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)</w:t>
      </w:r>
    </w:p>
    <w:p w14:paraId="46D387B1" w14:textId="77777777" w:rsidR="00025702" w:rsidRPr="00025702" w:rsidRDefault="00025702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</w:p>
    <w:p w14:paraId="76D19F2D" w14:textId="398E5324" w:rsidR="00321DBB" w:rsidRPr="00025702" w:rsidRDefault="00321DBB" w:rsidP="00025702">
      <w:pPr>
        <w:pStyle w:val="a4"/>
        <w:numPr>
          <w:ilvl w:val="0"/>
          <w:numId w:val="10"/>
        </w:numPr>
        <w:snapToGrid w:val="0"/>
        <w:ind w:leftChars="0" w:left="482" w:hanging="482"/>
        <w:textAlignment w:val="center"/>
        <w:rPr>
          <w:rFonts w:ascii="Arial" w:eastAsia="微軟正黑體" w:hAnsi="Arial"/>
          <w:color w:val="0070C0"/>
          <w:sz w:val="32"/>
          <w:szCs w:val="32"/>
        </w:rPr>
      </w:pPr>
      <w:r w:rsidRPr="00025702">
        <w:rPr>
          <w:rFonts w:ascii="Arial" w:eastAsia="微軟正黑體" w:hAnsi="Arial" w:hint="eastAsia"/>
          <w:color w:val="0070C0"/>
          <w:sz w:val="32"/>
          <w:szCs w:val="32"/>
        </w:rPr>
        <w:t>客運</w:t>
      </w:r>
      <w:r w:rsidRPr="00025702">
        <w:rPr>
          <w:rFonts w:ascii="Arial" w:eastAsia="微軟正黑體" w:hAnsi="Arial" w:hint="eastAsia"/>
          <w:color w:val="0070C0"/>
          <w:sz w:val="32"/>
          <w:szCs w:val="32"/>
        </w:rPr>
        <w:t>:</w:t>
      </w:r>
    </w:p>
    <w:p w14:paraId="62D46D2B" w14:textId="3222732C" w:rsidR="00321DBB" w:rsidRPr="00B448D2" w:rsidRDefault="00321DBB" w:rsidP="002C50FE">
      <w:pPr>
        <w:snapToGrid w:val="0"/>
        <w:ind w:left="480" w:firstLine="48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接收訂單</w:t>
      </w:r>
      <w:r w:rsidR="002C50FE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接受物流所選擇的訂單</w:t>
      </w:r>
    </w:p>
    <w:p w14:paraId="0A6CF326" w14:textId="6AF6ADC8" w:rsidR="00321DBB" w:rsidRPr="00B448D2" w:rsidRDefault="00321DBB" w:rsidP="002C50FE">
      <w:pPr>
        <w:snapToGrid w:val="0"/>
        <w:ind w:left="480" w:firstLine="48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司機回報</w:t>
      </w:r>
      <w:r w:rsidR="002C50FE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接收司機的狀況回報</w:t>
      </w:r>
    </w:p>
    <w:p w14:paraId="10B8BB32" w14:textId="77777777" w:rsidR="00321DBB" w:rsidRPr="00025702" w:rsidRDefault="00321DBB" w:rsidP="00025702">
      <w:pPr>
        <w:pStyle w:val="a4"/>
        <w:numPr>
          <w:ilvl w:val="0"/>
          <w:numId w:val="10"/>
        </w:numPr>
        <w:snapToGrid w:val="0"/>
        <w:ind w:leftChars="0" w:left="482" w:hanging="482"/>
        <w:textAlignment w:val="center"/>
        <w:rPr>
          <w:rFonts w:ascii="Arial" w:eastAsia="微軟正黑體" w:hAnsi="Arial"/>
          <w:color w:val="0070C0"/>
          <w:sz w:val="32"/>
          <w:szCs w:val="32"/>
        </w:rPr>
      </w:pPr>
      <w:r w:rsidRPr="00025702">
        <w:rPr>
          <w:rFonts w:ascii="Arial" w:eastAsia="微軟正黑體" w:hAnsi="Arial" w:hint="eastAsia"/>
          <w:color w:val="0070C0"/>
          <w:sz w:val="32"/>
          <w:szCs w:val="32"/>
        </w:rPr>
        <w:t>司機</w:t>
      </w:r>
      <w:r w:rsidRPr="00025702">
        <w:rPr>
          <w:rFonts w:ascii="Arial" w:eastAsia="微軟正黑體" w:hAnsi="Arial" w:hint="eastAsia"/>
          <w:color w:val="0070C0"/>
          <w:sz w:val="32"/>
          <w:szCs w:val="32"/>
        </w:rPr>
        <w:t>:</w:t>
      </w:r>
    </w:p>
    <w:p w14:paraId="19F21E18" w14:textId="13C37B36" w:rsidR="00C02696" w:rsidRPr="00B448D2" w:rsidRDefault="00321DBB" w:rsidP="002C50FE">
      <w:pPr>
        <w:snapToGrid w:val="0"/>
        <w:ind w:left="480" w:firstLine="48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訂單介面</w:t>
      </w:r>
      <w:r w:rsidR="002C50FE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="00C02696" w:rsidRPr="00B448D2">
        <w:rPr>
          <w:rFonts w:ascii="Arial" w:eastAsia="微軟正黑體" w:hAnsi="Arial" w:hint="eastAsia"/>
          <w:color w:val="0070C0"/>
          <w:sz w:val="32"/>
          <w:szCs w:val="32"/>
        </w:rPr>
        <w:t>顯示訂單資訊</w:t>
      </w:r>
    </w:p>
    <w:p w14:paraId="600B315B" w14:textId="7A4F8823" w:rsidR="00706340" w:rsidRPr="00B448D2" w:rsidRDefault="00321DBB" w:rsidP="00600A27">
      <w:pPr>
        <w:snapToGrid w:val="0"/>
        <w:ind w:left="480" w:firstLine="48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狀況回報</w:t>
      </w:r>
    </w:p>
    <w:p w14:paraId="1F4935EA" w14:textId="6C57455C" w:rsidR="00706340" w:rsidRPr="00566188" w:rsidRDefault="001572D4" w:rsidP="002C7800">
      <w:pPr>
        <w:snapToGrid w:val="0"/>
        <w:rPr>
          <w:rFonts w:ascii="Arial" w:eastAsia="微軟正黑體" w:hAnsi="Arial"/>
          <w:color w:val="0070C0"/>
          <w:sz w:val="36"/>
          <w:szCs w:val="36"/>
        </w:rPr>
      </w:pPr>
      <w:r w:rsidRPr="00566188">
        <w:rPr>
          <w:rFonts w:ascii="Arial" w:eastAsia="微軟正黑體" w:hAnsi="Arial" w:hint="eastAsia"/>
          <w:b/>
          <w:bCs/>
          <w:color w:val="0070C0"/>
          <w:sz w:val="44"/>
          <w:szCs w:val="44"/>
        </w:rPr>
        <w:t>非功能性</w:t>
      </w:r>
    </w:p>
    <w:p w14:paraId="56A623E7" w14:textId="77777777" w:rsidR="00706340" w:rsidRPr="00B448D2" w:rsidRDefault="00F63573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維護性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(maintainability)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：</w:t>
      </w:r>
    </w:p>
    <w:p w14:paraId="3EBC4336" w14:textId="77777777" w:rsidR="009F275D" w:rsidRPr="00B448D2" w:rsidRDefault="00706340" w:rsidP="006A0B4D">
      <w:pPr>
        <w:snapToGrid w:val="0"/>
        <w:ind w:leftChars="177" w:left="425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1</w:t>
      </w:r>
      <w:r w:rsidR="001A417E" w:rsidRPr="00B448D2">
        <w:rPr>
          <w:rFonts w:ascii="Arial" w:eastAsia="微軟正黑體" w:hAnsi="Arial" w:hint="eastAsia"/>
          <w:color w:val="0070C0"/>
          <w:sz w:val="32"/>
          <w:szCs w:val="32"/>
        </w:rPr>
        <w:t>按照功能與介面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進行</w:t>
      </w:r>
      <w:r w:rsidR="001A417E" w:rsidRPr="00B448D2">
        <w:rPr>
          <w:rFonts w:ascii="Arial" w:eastAsia="微軟正黑體" w:hAnsi="Arial" w:hint="eastAsia"/>
          <w:color w:val="0070C0"/>
          <w:sz w:val="32"/>
          <w:szCs w:val="32"/>
        </w:rPr>
        <w:t>命名</w:t>
      </w:r>
    </w:p>
    <w:p w14:paraId="4BEF6958" w14:textId="06086676" w:rsidR="001A417E" w:rsidRPr="00B448D2" w:rsidRDefault="001A417E" w:rsidP="006A0B4D">
      <w:pPr>
        <w:snapToGrid w:val="0"/>
        <w:ind w:leftChars="292" w:left="1469" w:hangingChars="240" w:hanging="768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EX</w:t>
      </w:r>
      <w:r w:rsidR="002C50FE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圖案是公車，所以取名是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id=bus</w:t>
      </w:r>
      <w:r w:rsidR="002C50FE">
        <w:rPr>
          <w:rFonts w:ascii="Arial" w:eastAsia="微軟正黑體" w:hAnsi="Arial" w:hint="eastAsia"/>
          <w:color w:val="0070C0"/>
          <w:sz w:val="32"/>
          <w:szCs w:val="32"/>
        </w:rPr>
        <w:t>、</w:t>
      </w:r>
      <w:r w:rsidR="002C50FE">
        <w:rPr>
          <w:rFonts w:ascii="Arial" w:eastAsia="微軟正黑體" w:hAnsi="Arial"/>
          <w:color w:val="0070C0"/>
          <w:sz w:val="32"/>
          <w:szCs w:val="32"/>
        </w:rPr>
        <w:br/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登入就是以功能性命名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id=login</w:t>
      </w:r>
    </w:p>
    <w:p w14:paraId="3AA93CBF" w14:textId="77777777" w:rsidR="001A417E" w:rsidRPr="00B448D2" w:rsidRDefault="00706340" w:rsidP="006A0B4D">
      <w:pPr>
        <w:snapToGrid w:val="0"/>
        <w:ind w:leftChars="177" w:left="425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2.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按照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JAVA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進行編碼原則</w:t>
      </w:r>
    </w:p>
    <w:p w14:paraId="098C34D2" w14:textId="77777777" w:rsidR="001A417E" w:rsidRPr="00B448D2" w:rsidRDefault="001A417E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使用性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(usability)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：接觸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10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分鐘內上手</w:t>
      </w:r>
    </w:p>
    <w:p w14:paraId="62D31010" w14:textId="1020B7CD" w:rsidR="001A417E" w:rsidRPr="00B448D2" w:rsidRDefault="001A417E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B448D2">
        <w:rPr>
          <w:rFonts w:ascii="Arial" w:eastAsia="微軟正黑體" w:hAnsi="Arial" w:hint="eastAsia"/>
          <w:color w:val="0070C0"/>
          <w:sz w:val="32"/>
          <w:szCs w:val="32"/>
        </w:rPr>
        <w:t>反應時間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(response time)</w:t>
      </w:r>
      <w:r w:rsidRPr="00B448D2">
        <w:rPr>
          <w:rFonts w:ascii="Arial" w:eastAsia="微軟正黑體" w:hAnsi="Arial" w:hint="eastAsia"/>
          <w:color w:val="0070C0"/>
          <w:sz w:val="32"/>
          <w:szCs w:val="32"/>
        </w:rPr>
        <w:t>：</w:t>
      </w:r>
      <w:r w:rsidR="00706340" w:rsidRPr="00B448D2">
        <w:rPr>
          <w:rFonts w:ascii="Arial" w:eastAsia="微軟正黑體" w:hAnsi="Arial" w:hint="eastAsia"/>
          <w:color w:val="0070C0"/>
          <w:sz w:val="32"/>
          <w:szCs w:val="32"/>
        </w:rPr>
        <w:t>切換功能與頁面</w:t>
      </w:r>
      <w:r w:rsidR="00706340" w:rsidRPr="00B448D2">
        <w:rPr>
          <w:rFonts w:ascii="Arial" w:eastAsia="微軟正黑體" w:hAnsi="Arial" w:hint="eastAsia"/>
          <w:color w:val="0070C0"/>
          <w:sz w:val="32"/>
          <w:szCs w:val="32"/>
        </w:rPr>
        <w:t>0.5</w:t>
      </w:r>
      <w:r w:rsidR="00706340" w:rsidRPr="00B448D2">
        <w:rPr>
          <w:rFonts w:ascii="Arial" w:eastAsia="微軟正黑體" w:hAnsi="Arial" w:hint="eastAsia"/>
          <w:color w:val="0070C0"/>
          <w:sz w:val="32"/>
          <w:szCs w:val="32"/>
        </w:rPr>
        <w:t>秒內</w:t>
      </w:r>
    </w:p>
    <w:p w14:paraId="561C235B" w14:textId="37E8FD48" w:rsidR="001572D4" w:rsidRPr="00566188" w:rsidRDefault="001572D4" w:rsidP="002C7800">
      <w:pPr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32"/>
          <w:szCs w:val="32"/>
          <w:shd w:val="clear" w:color="auto" w:fill="FFFFFF" w:themeFill="background1"/>
        </w:rPr>
      </w:pP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lastRenderedPageBreak/>
        <w:t>2.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功能</w:t>
      </w: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分解圖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0"/>
          <w:szCs w:val="40"/>
          <w:shd w:val="clear" w:color="auto" w:fill="FFFFFF" w:themeFill="background1"/>
        </w:rPr>
        <w:t>(functional decomposition diagram)</w:t>
      </w:r>
    </w:p>
    <w:p w14:paraId="5896B366" w14:textId="4ECCED80" w:rsidR="00195B84" w:rsidRDefault="00596CA5" w:rsidP="002C7800">
      <w:pPr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0000FF"/>
          <w:kern w:val="0"/>
          <w:sz w:val="28"/>
          <w:szCs w:val="28"/>
          <w:shd w:val="clear" w:color="auto" w:fill="FFFFFF" w:themeFill="background1"/>
        </w:rPr>
      </w:pPr>
      <w:r w:rsidRPr="00596CA5">
        <w:rPr>
          <w:rFonts w:ascii="Arial" w:eastAsia="微軟正黑體" w:hAnsi="Arial" w:cs="Arial"/>
          <w:b/>
          <w:bCs/>
          <w:color w:val="0000FF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 wp14:anchorId="26C0332C" wp14:editId="3881C18C">
            <wp:extent cx="6120130" cy="29356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C91" w14:textId="77777777" w:rsidR="00600A27" w:rsidRPr="00B448D2" w:rsidRDefault="00600A27" w:rsidP="002C7800">
      <w:pPr>
        <w:widowControl/>
        <w:snapToGrid w:val="0"/>
        <w:textAlignment w:val="baseline"/>
        <w:rPr>
          <w:rFonts w:ascii="Arial" w:eastAsia="微軟正黑體" w:hAnsi="Arial" w:cs="Arial" w:hint="eastAsia"/>
          <w:b/>
          <w:bCs/>
          <w:color w:val="0000FF"/>
          <w:kern w:val="0"/>
          <w:sz w:val="28"/>
          <w:szCs w:val="28"/>
          <w:shd w:val="clear" w:color="auto" w:fill="FFFFFF" w:themeFill="background1"/>
        </w:rPr>
      </w:pPr>
    </w:p>
    <w:p w14:paraId="10854955" w14:textId="77777777" w:rsidR="001572D4" w:rsidRPr="00566188" w:rsidRDefault="001572D4" w:rsidP="00566188">
      <w:pPr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</w:pP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3.</w:t>
      </w: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客運共載系統的需求分析</w:t>
      </w:r>
    </w:p>
    <w:p w14:paraId="645AEB3D" w14:textId="3C2F8939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1.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使用者先進行身分後登入帳密</w:t>
      </w:r>
    </w:p>
    <w:p w14:paraId="0EFF6731" w14:textId="77777777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2.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貨運人員可以選擇要發配的訂單</w:t>
      </w:r>
    </w:p>
    <w:p w14:paraId="77268915" w14:textId="77777777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3.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客運人員接收貨運公司發配的訂單決定接單與否</w:t>
      </w:r>
    </w:p>
    <w:p w14:paraId="1C65D302" w14:textId="77777777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4.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司機接收客運人員發配的訂單</w:t>
      </w:r>
    </w:p>
    <w:p w14:paraId="095CA841" w14:textId="77777777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5.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假如公車有狀況，司機必須回報給客運</w:t>
      </w:r>
    </w:p>
    <w:p w14:paraId="42AF85C1" w14:textId="77777777" w:rsidR="001572D4" w:rsidRPr="00600A27" w:rsidRDefault="001572D4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600A27">
        <w:rPr>
          <w:rFonts w:ascii="Arial" w:eastAsia="微軟正黑體" w:hAnsi="Arial" w:hint="eastAsia"/>
          <w:color w:val="0070C0"/>
          <w:sz w:val="32"/>
          <w:szCs w:val="32"/>
        </w:rPr>
        <w:t>6.</w:t>
      </w:r>
      <w:r w:rsidRPr="00600A27">
        <w:rPr>
          <w:rFonts w:ascii="Arial" w:eastAsia="微軟正黑體" w:hAnsi="Arial" w:hint="eastAsia"/>
          <w:color w:val="0070C0"/>
          <w:sz w:val="32"/>
          <w:szCs w:val="32"/>
        </w:rPr>
        <w:t>假如客運公司拒單，物流會接收到訊息</w:t>
      </w:r>
    </w:p>
    <w:p w14:paraId="498A8351" w14:textId="4BDDBA30" w:rsidR="001572D4" w:rsidRPr="00566188" w:rsidRDefault="001572D4" w:rsidP="00566188">
      <w:pPr>
        <w:pageBreakBefore/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</w:pP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lastRenderedPageBreak/>
        <w:t>4.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使用案例圖與三個以上的使用案例說明</w:t>
      </w:r>
    </w:p>
    <w:p w14:paraId="6C455F67" w14:textId="03C44BA9" w:rsidR="00FD08A3" w:rsidRPr="006A6326" w:rsidRDefault="006A6326" w:rsidP="00FD08A3">
      <w:pPr>
        <w:widowControl/>
        <w:snapToGrid w:val="0"/>
        <w:textAlignment w:val="baseline"/>
        <w:rPr>
          <w:rFonts w:ascii="Arial" w:eastAsia="微軟正黑體" w:hAnsi="Arial"/>
          <w:b/>
          <w:bCs/>
          <w:color w:val="0070C0"/>
          <w:sz w:val="44"/>
          <w:szCs w:val="44"/>
        </w:rPr>
      </w:pPr>
      <w:r>
        <w:rPr>
          <w:rFonts w:ascii="Arial" w:eastAsia="微軟正黑體" w:hAnsi="Arial" w:hint="eastAsia"/>
          <w:b/>
          <w:bCs/>
          <w:color w:val="0070C0"/>
          <w:sz w:val="44"/>
          <w:szCs w:val="44"/>
        </w:rPr>
        <w:t>使用案例圖：</w:t>
      </w:r>
    </w:p>
    <w:p w14:paraId="4DA086E9" w14:textId="687AC02C" w:rsidR="008D6CF5" w:rsidRDefault="004E0A23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  <w:r w:rsidRPr="004E0A23">
        <w:rPr>
          <w:rFonts w:ascii="Arial" w:eastAsia="微軟正黑體" w:hAnsi="Arial"/>
          <w:color w:val="0070C0"/>
          <w:sz w:val="32"/>
          <w:szCs w:val="32"/>
        </w:rPr>
        <w:drawing>
          <wp:inline distT="0" distB="0" distL="0" distR="0" wp14:anchorId="482B3EDC" wp14:editId="2085C6C5">
            <wp:extent cx="6033477" cy="5295460"/>
            <wp:effectExtent l="0" t="0" r="571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503" cy="53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AB6" w14:textId="77777777" w:rsidR="004E0A23" w:rsidRDefault="004E0A23" w:rsidP="00FD08A3">
      <w:pPr>
        <w:pageBreakBefore/>
        <w:snapToGrid w:val="0"/>
        <w:rPr>
          <w:rFonts w:ascii="Arial" w:eastAsia="微軟正黑體" w:hAnsi="Arial" w:hint="eastAsia"/>
          <w:color w:val="0070C0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6"/>
        <w:gridCol w:w="7302"/>
      </w:tblGrid>
      <w:tr w:rsidR="00707218" w14:paraId="343DB685" w14:textId="77777777" w:rsidTr="00980E80">
        <w:tc>
          <w:tcPr>
            <w:tcW w:w="22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F062AD2" w14:textId="1903471B" w:rsidR="00707218" w:rsidRPr="00FD08A3" w:rsidRDefault="00707218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使用</w:t>
            </w:r>
            <w:r w:rsidR="009D6A76"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案例</w:t>
            </w:r>
            <w:r w:rsidR="00E775F8"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名稱</w:t>
            </w:r>
          </w:p>
        </w:tc>
        <w:tc>
          <w:tcPr>
            <w:tcW w:w="7365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E7E6E6" w:themeFill="background2"/>
          </w:tcPr>
          <w:p w14:paraId="2AA5C32F" w14:textId="0EE9440A" w:rsidR="00707218" w:rsidRPr="00FD08A3" w:rsidRDefault="00E775F8" w:rsidP="00FD08A3">
            <w:pPr>
              <w:snapToGrid w:val="0"/>
              <w:jc w:val="center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司機回報</w:t>
            </w:r>
          </w:p>
        </w:tc>
      </w:tr>
      <w:tr w:rsidR="008D6CF5" w14:paraId="3B9E11CF" w14:textId="77777777" w:rsidTr="00980E80">
        <w:tc>
          <w:tcPr>
            <w:tcW w:w="2263" w:type="dxa"/>
            <w:tcBorders>
              <w:top w:val="thinThickSmallGap" w:sz="24" w:space="0" w:color="auto"/>
              <w:left w:val="thinThickSmallGap" w:sz="24" w:space="0" w:color="auto"/>
              <w:right w:val="single" w:sz="18" w:space="0" w:color="auto"/>
            </w:tcBorders>
            <w:vAlign w:val="center"/>
          </w:tcPr>
          <w:p w14:paraId="265921AC" w14:textId="3DFB625C" w:rsidR="008D6CF5" w:rsidRPr="00FD08A3" w:rsidRDefault="008D6CF5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行動者</w:t>
            </w:r>
          </w:p>
        </w:tc>
        <w:tc>
          <w:tcPr>
            <w:tcW w:w="7365" w:type="dxa"/>
            <w:tcBorders>
              <w:top w:val="thinThickSmallGap" w:sz="24" w:space="0" w:color="auto"/>
              <w:left w:val="single" w:sz="18" w:space="0" w:color="auto"/>
              <w:right w:val="thickThinSmallGap" w:sz="24" w:space="0" w:color="auto"/>
            </w:tcBorders>
          </w:tcPr>
          <w:p w14:paraId="446D9947" w14:textId="5E50894A" w:rsidR="008D6CF5" w:rsidRPr="00FD08A3" w:rsidRDefault="008D6CF5" w:rsidP="002C7800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客運</w:t>
            </w:r>
          </w:p>
        </w:tc>
      </w:tr>
      <w:tr w:rsidR="008D6CF5" w14:paraId="4E10B689" w14:textId="77777777" w:rsidTr="00980E80">
        <w:tc>
          <w:tcPr>
            <w:tcW w:w="226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3A1E03F2" w14:textId="65AB183A" w:rsidR="008D6CF5" w:rsidRPr="00FD08A3" w:rsidRDefault="000E6B8C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說明</w:t>
            </w:r>
          </w:p>
        </w:tc>
        <w:tc>
          <w:tcPr>
            <w:tcW w:w="736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2C8A3B46" w14:textId="46EAE801" w:rsidR="008D6CF5" w:rsidRPr="00FD08A3" w:rsidRDefault="00C057F7" w:rsidP="002C7800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/>
                <w:color w:val="0070C0"/>
                <w:sz w:val="28"/>
                <w:szCs w:val="28"/>
              </w:rPr>
              <w:t>接收司機</w:t>
            </w:r>
            <w:r w:rsidR="003E1659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拒接</w:t>
            </w:r>
            <w:r w:rsidR="007A6722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的訂單與</w:t>
            </w:r>
            <w:r w:rsidRPr="00FD08A3">
              <w:rPr>
                <w:rFonts w:ascii="Arial" w:eastAsia="微軟正黑體" w:hAnsi="Arial"/>
                <w:color w:val="0070C0"/>
                <w:sz w:val="28"/>
                <w:szCs w:val="28"/>
              </w:rPr>
              <w:t>狀況回報</w:t>
            </w:r>
          </w:p>
        </w:tc>
      </w:tr>
      <w:tr w:rsidR="008D6CF5" w14:paraId="69AC3871" w14:textId="77777777" w:rsidTr="00980E80">
        <w:tc>
          <w:tcPr>
            <w:tcW w:w="226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723771E5" w14:textId="6753EA80" w:rsidR="008D6CF5" w:rsidRPr="00FD08A3" w:rsidRDefault="00244BE2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完成動作</w:t>
            </w:r>
          </w:p>
        </w:tc>
        <w:tc>
          <w:tcPr>
            <w:tcW w:w="736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51A2DC14" w14:textId="293ABB53" w:rsidR="00196C32" w:rsidRPr="00FD08A3" w:rsidRDefault="00196C32" w:rsidP="005F6DDA">
            <w:pPr>
              <w:pStyle w:val="a4"/>
              <w:numPr>
                <w:ilvl w:val="0"/>
                <w:numId w:val="3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點擊司機回報</w:t>
            </w:r>
          </w:p>
          <w:p w14:paraId="02680BD5" w14:textId="77777777" w:rsidR="005F6DDA" w:rsidRPr="00FD08A3" w:rsidRDefault="00FB0E81" w:rsidP="00196C32">
            <w:pPr>
              <w:pStyle w:val="a4"/>
              <w:numPr>
                <w:ilvl w:val="0"/>
                <w:numId w:val="3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查看</w:t>
            </w:r>
            <w:r w:rsidR="005F6DDA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司機拒接的訂單</w:t>
            </w:r>
          </w:p>
          <w:p w14:paraId="54194D02" w14:textId="74049D46" w:rsidR="004E4131" w:rsidRPr="00FD08A3" w:rsidRDefault="004E4131" w:rsidP="00196C32">
            <w:pPr>
              <w:pStyle w:val="a4"/>
              <w:numPr>
                <w:ilvl w:val="0"/>
                <w:numId w:val="3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重新分配貨物</w:t>
            </w:r>
            <w:r w:rsidR="00DD2954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訂單給司機</w:t>
            </w:r>
          </w:p>
        </w:tc>
      </w:tr>
      <w:tr w:rsidR="008D6CF5" w14:paraId="76AE24BF" w14:textId="77777777" w:rsidTr="00980E80">
        <w:tc>
          <w:tcPr>
            <w:tcW w:w="226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EFE246A" w14:textId="6C798FDA" w:rsidR="008D6CF5" w:rsidRPr="00FD08A3" w:rsidRDefault="004C0258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替代方法</w:t>
            </w:r>
          </w:p>
        </w:tc>
        <w:tc>
          <w:tcPr>
            <w:tcW w:w="736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301F1A52" w14:textId="77777777" w:rsidR="00221D4D" w:rsidRPr="00FD08A3" w:rsidRDefault="00221D4D" w:rsidP="00221D4D">
            <w:pPr>
              <w:pStyle w:val="a4"/>
              <w:numPr>
                <w:ilvl w:val="0"/>
                <w:numId w:val="4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點擊司機回報</w:t>
            </w:r>
          </w:p>
          <w:p w14:paraId="34417842" w14:textId="77777777" w:rsidR="00221D4D" w:rsidRPr="00FD08A3" w:rsidRDefault="00221D4D" w:rsidP="00221D4D">
            <w:pPr>
              <w:pStyle w:val="a4"/>
              <w:numPr>
                <w:ilvl w:val="0"/>
                <w:numId w:val="4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查看司機拒接的訂單</w:t>
            </w:r>
          </w:p>
          <w:p w14:paraId="46C7B66C" w14:textId="5400C549" w:rsidR="008D6CF5" w:rsidRPr="00FD08A3" w:rsidRDefault="00221D4D" w:rsidP="00221D4D">
            <w:pPr>
              <w:pStyle w:val="a4"/>
              <w:numPr>
                <w:ilvl w:val="0"/>
                <w:numId w:val="4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lastRenderedPageBreak/>
              <w:t>回報給物流公司</w:t>
            </w:r>
          </w:p>
        </w:tc>
      </w:tr>
      <w:tr w:rsidR="008D6CF5" w14:paraId="6889008E" w14:textId="77777777" w:rsidTr="00980E80">
        <w:tc>
          <w:tcPr>
            <w:tcW w:w="226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11C4B996" w14:textId="3F01E7C3" w:rsidR="008D6CF5" w:rsidRPr="00FD08A3" w:rsidRDefault="008A1873" w:rsidP="00980E80">
            <w:pPr>
              <w:snapToGrid w:val="0"/>
              <w:jc w:val="both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lastRenderedPageBreak/>
              <w:t>先決條件</w:t>
            </w:r>
          </w:p>
        </w:tc>
        <w:tc>
          <w:tcPr>
            <w:tcW w:w="736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43106F42" w14:textId="436B0215" w:rsidR="008D6CF5" w:rsidRPr="00FD08A3" w:rsidRDefault="008A1873" w:rsidP="002C7800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至少要有一筆司機拒接的訂單</w:t>
            </w:r>
          </w:p>
        </w:tc>
      </w:tr>
      <w:tr w:rsidR="008D6CF5" w14:paraId="5290DBAE" w14:textId="77777777" w:rsidTr="00980E80">
        <w:tc>
          <w:tcPr>
            <w:tcW w:w="226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6AE72FA9" w14:textId="1CC66150" w:rsidR="008D6CF5" w:rsidRPr="00FD08A3" w:rsidRDefault="008A1873" w:rsidP="00980E80">
            <w:pPr>
              <w:snapToGrid w:val="0"/>
              <w:jc w:val="both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後置條件</w:t>
            </w:r>
          </w:p>
        </w:tc>
        <w:tc>
          <w:tcPr>
            <w:tcW w:w="736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421C4BB3" w14:textId="3D3CAF21" w:rsidR="008D6CF5" w:rsidRPr="00FD08A3" w:rsidRDefault="0060633D" w:rsidP="002C7800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可繼續查看下一筆訂單</w:t>
            </w:r>
          </w:p>
        </w:tc>
      </w:tr>
      <w:tr w:rsidR="008D6CF5" w14:paraId="32DD9B24" w14:textId="77777777" w:rsidTr="00980E80">
        <w:tc>
          <w:tcPr>
            <w:tcW w:w="2263" w:type="dxa"/>
            <w:tcBorders>
              <w:left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14:paraId="1A489142" w14:textId="364C0CA2" w:rsidR="008D6CF5" w:rsidRPr="00FD08A3" w:rsidRDefault="00F14601" w:rsidP="00980E80">
            <w:pPr>
              <w:snapToGrid w:val="0"/>
              <w:jc w:val="both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假設</w:t>
            </w:r>
          </w:p>
        </w:tc>
        <w:tc>
          <w:tcPr>
            <w:tcW w:w="7365" w:type="dxa"/>
            <w:tcBorders>
              <w:left w:val="single" w:sz="18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CF94BCB" w14:textId="2655BBB9" w:rsidR="008D6CF5" w:rsidRPr="00FD08A3" w:rsidRDefault="00F14601" w:rsidP="002C7800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無</w:t>
            </w:r>
          </w:p>
        </w:tc>
      </w:tr>
    </w:tbl>
    <w:p w14:paraId="40E8E98B" w14:textId="77777777" w:rsidR="00F609F8" w:rsidRDefault="00F609F8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7233"/>
      </w:tblGrid>
      <w:tr w:rsidR="009B588B" w14:paraId="4709B316" w14:textId="77777777" w:rsidTr="00980E80">
        <w:tc>
          <w:tcPr>
            <w:tcW w:w="233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5AA4A83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使用案例名稱</w:t>
            </w:r>
          </w:p>
        </w:tc>
        <w:tc>
          <w:tcPr>
            <w:tcW w:w="7295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E7E6E6" w:themeFill="background2"/>
          </w:tcPr>
          <w:p w14:paraId="10F94CF3" w14:textId="3144055D" w:rsidR="009B588B" w:rsidRPr="00FD08A3" w:rsidRDefault="00F21968" w:rsidP="00FD08A3">
            <w:pPr>
              <w:snapToGrid w:val="0"/>
              <w:jc w:val="center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決定訂單</w:t>
            </w:r>
          </w:p>
        </w:tc>
      </w:tr>
      <w:tr w:rsidR="009B588B" w14:paraId="5307C253" w14:textId="77777777" w:rsidTr="00980E80">
        <w:tc>
          <w:tcPr>
            <w:tcW w:w="2333" w:type="dxa"/>
            <w:tcBorders>
              <w:top w:val="thinThickSmallGap" w:sz="24" w:space="0" w:color="auto"/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A281E4B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行動者</w:t>
            </w:r>
          </w:p>
        </w:tc>
        <w:tc>
          <w:tcPr>
            <w:tcW w:w="7295" w:type="dxa"/>
            <w:tcBorders>
              <w:top w:val="thinThickSmallGap" w:sz="24" w:space="0" w:color="auto"/>
              <w:left w:val="single" w:sz="18" w:space="0" w:color="auto"/>
              <w:right w:val="thickThinSmallGap" w:sz="24" w:space="0" w:color="auto"/>
            </w:tcBorders>
          </w:tcPr>
          <w:p w14:paraId="501F1224" w14:textId="77777777" w:rsidR="009B588B" w:rsidRPr="00FD08A3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客運</w:t>
            </w:r>
          </w:p>
        </w:tc>
      </w:tr>
      <w:tr w:rsidR="009B588B" w14:paraId="05C12E6D" w14:textId="77777777" w:rsidTr="00980E80">
        <w:tc>
          <w:tcPr>
            <w:tcW w:w="233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6BB6BC6C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說明</w:t>
            </w:r>
          </w:p>
        </w:tc>
        <w:tc>
          <w:tcPr>
            <w:tcW w:w="729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5C676601" w14:textId="280E4D4A" w:rsidR="009B588B" w:rsidRPr="00FD08A3" w:rsidRDefault="00031ADD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/>
                <w:color w:val="0070C0"/>
                <w:sz w:val="28"/>
                <w:szCs w:val="28"/>
              </w:rPr>
              <w:t>接收</w:t>
            </w:r>
            <w:r w:rsidR="00F21968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或</w:t>
            </w:r>
            <w:r w:rsidRPr="00FD08A3">
              <w:rPr>
                <w:rFonts w:ascii="Arial" w:eastAsia="微軟正黑體" w:hAnsi="Arial"/>
                <w:color w:val="0070C0"/>
                <w:sz w:val="28"/>
                <w:szCs w:val="28"/>
              </w:rPr>
              <w:t>拒絕物流所選擇的訂單</w:t>
            </w:r>
          </w:p>
        </w:tc>
      </w:tr>
      <w:tr w:rsidR="009B588B" w14:paraId="6EA0ACFD" w14:textId="77777777" w:rsidTr="00980E80">
        <w:tc>
          <w:tcPr>
            <w:tcW w:w="233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F1EBAF3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完成動作</w:t>
            </w:r>
          </w:p>
        </w:tc>
        <w:tc>
          <w:tcPr>
            <w:tcW w:w="729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38F6F4B0" w14:textId="3149C4A9" w:rsidR="009B588B" w:rsidRPr="00FD08A3" w:rsidRDefault="009B588B" w:rsidP="00BC3AC6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</w:t>
            </w:r>
            <w:r w:rsidR="00BC3AC6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決定訂單</w:t>
            </w:r>
          </w:p>
          <w:p w14:paraId="2A83C8AF" w14:textId="52779E74" w:rsidR="00BA1F51" w:rsidRPr="00FD08A3" w:rsidRDefault="00BA1F51" w:rsidP="00BC3AC6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查看訂單</w:t>
            </w:r>
          </w:p>
          <w:p w14:paraId="4DC496A1" w14:textId="77777777" w:rsidR="009B588B" w:rsidRPr="00FD08A3" w:rsidRDefault="00AD4876" w:rsidP="00BC3AC6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接收訂單</w:t>
            </w:r>
          </w:p>
          <w:p w14:paraId="625193D1" w14:textId="4F506436" w:rsidR="00B263DD" w:rsidRPr="00FD08A3" w:rsidRDefault="001F2386" w:rsidP="00BC3AC6">
            <w:pPr>
              <w:pStyle w:val="a4"/>
              <w:numPr>
                <w:ilvl w:val="0"/>
                <w:numId w:val="5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分配</w:t>
            </w:r>
            <w:r w:rsidR="00B263DD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給司機</w:t>
            </w:r>
          </w:p>
        </w:tc>
      </w:tr>
      <w:tr w:rsidR="009B588B" w14:paraId="34D33DB7" w14:textId="77777777" w:rsidTr="00980E80">
        <w:tc>
          <w:tcPr>
            <w:tcW w:w="233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25194D9D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替代方法</w:t>
            </w:r>
          </w:p>
        </w:tc>
        <w:tc>
          <w:tcPr>
            <w:tcW w:w="729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6D31D889" w14:textId="77777777" w:rsidR="00AD4876" w:rsidRPr="00FD08A3" w:rsidRDefault="00AD4876" w:rsidP="00AD487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點擊決定訂單</w:t>
            </w:r>
          </w:p>
          <w:p w14:paraId="65F94F67" w14:textId="1F7C449A" w:rsidR="00BA1F51" w:rsidRPr="00FD08A3" w:rsidRDefault="00BA1F51" w:rsidP="00AD487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查看訂單</w:t>
            </w:r>
          </w:p>
          <w:p w14:paraId="3A06A235" w14:textId="77777777" w:rsidR="009B588B" w:rsidRPr="00FD08A3" w:rsidRDefault="00AD4876" w:rsidP="00AD487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拒絕</w:t>
            </w: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訂單</w:t>
            </w:r>
          </w:p>
          <w:p w14:paraId="36DF6FDD" w14:textId="401FCF00" w:rsidR="00B263DD" w:rsidRPr="00FD08A3" w:rsidRDefault="00B263DD" w:rsidP="00AD487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回傳給物流</w:t>
            </w:r>
          </w:p>
        </w:tc>
      </w:tr>
      <w:tr w:rsidR="009B588B" w14:paraId="0E029EEF" w14:textId="77777777" w:rsidTr="00980E80">
        <w:tc>
          <w:tcPr>
            <w:tcW w:w="233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26F35373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先決條件</w:t>
            </w:r>
          </w:p>
        </w:tc>
        <w:tc>
          <w:tcPr>
            <w:tcW w:w="729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5FD51E92" w14:textId="260B3FBF" w:rsidR="009B588B" w:rsidRPr="00FD08A3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至少</w:t>
            </w:r>
            <w:r w:rsidR="00B263DD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要有一筆來自物流公司的</w:t>
            </w: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訂單</w:t>
            </w:r>
          </w:p>
        </w:tc>
      </w:tr>
      <w:tr w:rsidR="009B588B" w14:paraId="799D02B8" w14:textId="77777777" w:rsidTr="00980E80">
        <w:tc>
          <w:tcPr>
            <w:tcW w:w="2333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1597ECC7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後置條件</w:t>
            </w:r>
          </w:p>
        </w:tc>
        <w:tc>
          <w:tcPr>
            <w:tcW w:w="7295" w:type="dxa"/>
            <w:tcBorders>
              <w:left w:val="single" w:sz="18" w:space="0" w:color="auto"/>
              <w:right w:val="thickThinSmallGap" w:sz="24" w:space="0" w:color="auto"/>
            </w:tcBorders>
          </w:tcPr>
          <w:p w14:paraId="00633962" w14:textId="3E685FDF" w:rsidR="009B588B" w:rsidRPr="00FD08A3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可繼續</w:t>
            </w:r>
            <w:r w:rsidR="001F2386"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決定</w:t>
            </w: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下一筆訂單</w:t>
            </w:r>
          </w:p>
        </w:tc>
      </w:tr>
      <w:tr w:rsidR="009B588B" w14:paraId="0FBFD13F" w14:textId="77777777" w:rsidTr="00980E80">
        <w:tc>
          <w:tcPr>
            <w:tcW w:w="2333" w:type="dxa"/>
            <w:tcBorders>
              <w:left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14:paraId="177E4DCD" w14:textId="77777777" w:rsidR="009B588B" w:rsidRPr="00FD08A3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假設</w:t>
            </w:r>
          </w:p>
        </w:tc>
        <w:tc>
          <w:tcPr>
            <w:tcW w:w="7295" w:type="dxa"/>
            <w:tcBorders>
              <w:left w:val="single" w:sz="18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37B6433" w14:textId="77777777" w:rsidR="009B588B" w:rsidRPr="00FD08A3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FD08A3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無</w:t>
            </w:r>
          </w:p>
        </w:tc>
      </w:tr>
    </w:tbl>
    <w:p w14:paraId="7BC3E80E" w14:textId="77777777" w:rsidR="009B588B" w:rsidRDefault="009B588B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</w:p>
    <w:tbl>
      <w:tblPr>
        <w:tblStyle w:val="a3"/>
        <w:tblW w:w="1010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313"/>
        <w:gridCol w:w="7790"/>
      </w:tblGrid>
      <w:tr w:rsidR="009B588B" w:rsidRPr="009D63B7" w14:paraId="56CC1FEA" w14:textId="77777777" w:rsidTr="00980E80">
        <w:tc>
          <w:tcPr>
            <w:tcW w:w="2313" w:type="dxa"/>
            <w:tcBorders>
              <w:bottom w:val="thinThickSmallGap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0EA3B33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使用案例名稱</w:t>
            </w:r>
          </w:p>
        </w:tc>
        <w:tc>
          <w:tcPr>
            <w:tcW w:w="7790" w:type="dxa"/>
            <w:tcBorders>
              <w:left w:val="single" w:sz="18" w:space="0" w:color="auto"/>
              <w:bottom w:val="thinThickSmallGap" w:sz="24" w:space="0" w:color="auto"/>
            </w:tcBorders>
            <w:shd w:val="clear" w:color="auto" w:fill="E7E6E6" w:themeFill="background2"/>
          </w:tcPr>
          <w:p w14:paraId="24EDEDE5" w14:textId="5DC249A6" w:rsidR="009B588B" w:rsidRPr="009D63B7" w:rsidRDefault="008A060D" w:rsidP="009D63B7">
            <w:pPr>
              <w:snapToGrid w:val="0"/>
              <w:jc w:val="center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/>
                <w:b/>
                <w:bCs/>
                <w:color w:val="0070C0"/>
                <w:sz w:val="28"/>
                <w:szCs w:val="28"/>
              </w:rPr>
              <w:t>訂單狀況回報</w:t>
            </w:r>
          </w:p>
        </w:tc>
      </w:tr>
      <w:tr w:rsidR="009B588B" w:rsidRPr="009D63B7" w14:paraId="5A39CE19" w14:textId="77777777" w:rsidTr="00980E80">
        <w:tc>
          <w:tcPr>
            <w:tcW w:w="2313" w:type="dxa"/>
            <w:tcBorders>
              <w:top w:val="thinThickSmallGap" w:sz="24" w:space="0" w:color="auto"/>
              <w:right w:val="single" w:sz="18" w:space="0" w:color="auto"/>
            </w:tcBorders>
            <w:vAlign w:val="center"/>
          </w:tcPr>
          <w:p w14:paraId="6FF136E9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行動者</w:t>
            </w:r>
          </w:p>
        </w:tc>
        <w:tc>
          <w:tcPr>
            <w:tcW w:w="7790" w:type="dxa"/>
            <w:tcBorders>
              <w:top w:val="thinThickSmallGap" w:sz="24" w:space="0" w:color="auto"/>
              <w:left w:val="single" w:sz="18" w:space="0" w:color="auto"/>
            </w:tcBorders>
          </w:tcPr>
          <w:p w14:paraId="13D47FDC" w14:textId="485CDC7B" w:rsidR="009B588B" w:rsidRPr="009D63B7" w:rsidRDefault="008A060D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司機</w:t>
            </w:r>
          </w:p>
        </w:tc>
      </w:tr>
      <w:tr w:rsidR="009B588B" w:rsidRPr="009D63B7" w14:paraId="1B6EB2DC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76A4713E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說明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1D994166" w14:textId="44D4A752" w:rsidR="009B588B" w:rsidRPr="009D63B7" w:rsidRDefault="008A060D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回報給物流業者</w:t>
            </w:r>
            <w:r w:rsidR="00D1570D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目前的訂單狀況</w:t>
            </w:r>
            <w:r w:rsidR="00D1570D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(</w:t>
            </w: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已收</w:t>
            </w:r>
            <w:r w:rsidR="00D1570D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貨和</w:t>
            </w: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已送達</w:t>
            </w:r>
            <w:r w:rsidR="00D1570D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)</w:t>
            </w:r>
          </w:p>
        </w:tc>
      </w:tr>
      <w:tr w:rsidR="009B588B" w:rsidRPr="009D63B7" w14:paraId="76AC1A7F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00D05C5F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完成動作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54744FB3" w14:textId="5EB4D1AC" w:rsidR="009B588B" w:rsidRPr="009D63B7" w:rsidRDefault="009B588B" w:rsidP="0004746F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</w:t>
            </w:r>
            <w:r w:rsidR="007150BF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訂單狀況回報</w:t>
            </w:r>
          </w:p>
          <w:p w14:paraId="7E7182CC" w14:textId="2777893A" w:rsidR="00DC6BA6" w:rsidRPr="009D63B7" w:rsidRDefault="00DC6BA6" w:rsidP="0004746F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選擇目前達成狀態</w:t>
            </w:r>
            <w:r w:rsidR="00FE3280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(</w:t>
            </w:r>
            <w:r w:rsidR="00FE3280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已收貨</w:t>
            </w:r>
            <w:r w:rsidR="00AF2115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或</w:t>
            </w:r>
            <w:r w:rsidR="00FE3280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已送達</w:t>
            </w:r>
            <w:r w:rsidR="00FE3280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)</w:t>
            </w:r>
          </w:p>
          <w:p w14:paraId="7AC1C4E9" w14:textId="5A533709" w:rsidR="009B588B" w:rsidRPr="009D63B7" w:rsidRDefault="00FE3280" w:rsidP="0004746F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將訂單狀態傳送給物流業者</w:t>
            </w:r>
          </w:p>
        </w:tc>
      </w:tr>
      <w:tr w:rsidR="009B588B" w:rsidRPr="009D63B7" w14:paraId="549BDEE5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43818414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lastRenderedPageBreak/>
              <w:t>替代方法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6BEA2C37" w14:textId="77777777" w:rsidR="00A80754" w:rsidRPr="009D63B7" w:rsidRDefault="00A80754" w:rsidP="00A80754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點擊訂單狀況回報</w:t>
            </w:r>
          </w:p>
          <w:p w14:paraId="11AF3D55" w14:textId="293A52F0" w:rsidR="00A80754" w:rsidRPr="009D63B7" w:rsidRDefault="00C33591" w:rsidP="00A80754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因故未能</w:t>
            </w:r>
            <w:r w:rsidR="00625848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勾選已</w:t>
            </w: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收貨或</w:t>
            </w:r>
            <w:r w:rsidR="00625848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已送達</w:t>
            </w:r>
          </w:p>
          <w:p w14:paraId="417A196C" w14:textId="77777777" w:rsidR="009B588B" w:rsidRPr="009D63B7" w:rsidRDefault="00982855" w:rsidP="00A80754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Arial" w:eastAsia="微軟正黑體" w:hAnsi="Arial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會到司機回報系統，回報給客運公司狀況</w:t>
            </w:r>
          </w:p>
          <w:p w14:paraId="5404BB8C" w14:textId="79AD22D3" w:rsidR="00982855" w:rsidRPr="009D63B7" w:rsidRDefault="00982855" w:rsidP="00A80754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客運公司確認後再回報給物流</w:t>
            </w:r>
          </w:p>
        </w:tc>
      </w:tr>
      <w:tr w:rsidR="009B588B" w:rsidRPr="009D63B7" w14:paraId="0BDA9FB4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7AC2ECC0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先決條件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230181BB" w14:textId="76753CCB" w:rsidR="009B588B" w:rsidRPr="009D63B7" w:rsidRDefault="00982855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客運有接收至少一筆訂單</w:t>
            </w:r>
          </w:p>
        </w:tc>
      </w:tr>
      <w:tr w:rsidR="009B588B" w:rsidRPr="009D63B7" w14:paraId="54760CCB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5D2D7BC7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後置條件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34F274C2" w14:textId="53D95584" w:rsidR="009B588B" w:rsidRPr="009D63B7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可繼續</w:t>
            </w:r>
            <w:r w:rsidR="00025FE3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配送</w:t>
            </w:r>
            <w:r w:rsidR="002238AE"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下一筆訂單</w:t>
            </w:r>
          </w:p>
        </w:tc>
      </w:tr>
      <w:tr w:rsidR="009B588B" w:rsidRPr="009D63B7" w14:paraId="5CFB1BA7" w14:textId="77777777" w:rsidTr="00980E80">
        <w:tc>
          <w:tcPr>
            <w:tcW w:w="2313" w:type="dxa"/>
            <w:tcBorders>
              <w:right w:val="single" w:sz="18" w:space="0" w:color="auto"/>
            </w:tcBorders>
            <w:vAlign w:val="center"/>
          </w:tcPr>
          <w:p w14:paraId="4FD5AB2D" w14:textId="77777777" w:rsidR="009B588B" w:rsidRPr="009D63B7" w:rsidRDefault="009B588B" w:rsidP="00980E80">
            <w:pPr>
              <w:snapToGrid w:val="0"/>
              <w:jc w:val="both"/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b/>
                <w:bCs/>
                <w:color w:val="0070C0"/>
                <w:sz w:val="28"/>
                <w:szCs w:val="28"/>
              </w:rPr>
              <w:t>假設</w:t>
            </w:r>
          </w:p>
        </w:tc>
        <w:tc>
          <w:tcPr>
            <w:tcW w:w="7790" w:type="dxa"/>
            <w:tcBorders>
              <w:left w:val="single" w:sz="18" w:space="0" w:color="auto"/>
            </w:tcBorders>
          </w:tcPr>
          <w:p w14:paraId="5314B89C" w14:textId="77777777" w:rsidR="009B588B" w:rsidRPr="009D63B7" w:rsidRDefault="009B588B" w:rsidP="004C1C24">
            <w:pPr>
              <w:snapToGrid w:val="0"/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</w:pPr>
            <w:r w:rsidRPr="009D63B7">
              <w:rPr>
                <w:rFonts w:ascii="Arial" w:eastAsia="微軟正黑體" w:hAnsi="Arial" w:hint="eastAsia"/>
                <w:color w:val="0070C0"/>
                <w:sz w:val="28"/>
                <w:szCs w:val="28"/>
              </w:rPr>
              <w:t>無</w:t>
            </w:r>
          </w:p>
        </w:tc>
      </w:tr>
    </w:tbl>
    <w:p w14:paraId="5EC7C555" w14:textId="77777777" w:rsidR="009B588B" w:rsidRPr="00B448D2" w:rsidRDefault="009B588B" w:rsidP="002C7800">
      <w:pPr>
        <w:snapToGrid w:val="0"/>
        <w:rPr>
          <w:rFonts w:ascii="Arial" w:eastAsia="微軟正黑體" w:hAnsi="Arial" w:hint="eastAsia"/>
          <w:color w:val="0070C0"/>
          <w:sz w:val="32"/>
          <w:szCs w:val="32"/>
        </w:rPr>
      </w:pPr>
    </w:p>
    <w:p w14:paraId="3EFE6598" w14:textId="77777777" w:rsidR="001572D4" w:rsidRPr="00566188" w:rsidRDefault="001572D4" w:rsidP="002C7800">
      <w:pPr>
        <w:widowControl/>
        <w:snapToGrid w:val="0"/>
        <w:textAlignment w:val="baseline"/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</w:pPr>
      <w:r w:rsidRPr="00566188">
        <w:rPr>
          <w:rFonts w:ascii="Arial" w:eastAsia="微軟正黑體" w:hAnsi="Arial" w:cs="Arial" w:hint="eastAsia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5.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Figma</w:t>
      </w:r>
      <w:r w:rsidRPr="00566188">
        <w:rPr>
          <w:rFonts w:ascii="Arial" w:eastAsia="微軟正黑體" w:hAnsi="Arial" w:cs="Arial"/>
          <w:b/>
          <w:bCs/>
          <w:color w:val="1F4E79" w:themeColor="accent1" w:themeShade="80"/>
          <w:kern w:val="0"/>
          <w:sz w:val="48"/>
          <w:szCs w:val="48"/>
          <w:shd w:val="clear" w:color="auto" w:fill="FFFFFF" w:themeFill="background1"/>
        </w:rPr>
        <w:t>劃出第一個使用案例的動態模擬畫面</w:t>
      </w:r>
    </w:p>
    <w:p w14:paraId="408C5D4C" w14:textId="5A8ABFFE" w:rsidR="00442DAE" w:rsidRDefault="00025702" w:rsidP="002C7800">
      <w:pPr>
        <w:snapToGrid w:val="0"/>
        <w:rPr>
          <w:rFonts w:ascii="Arial" w:eastAsia="微軟正黑體" w:hAnsi="Arial" w:cs="Arial"/>
          <w:color w:val="000000"/>
          <w:sz w:val="28"/>
          <w:szCs w:val="28"/>
        </w:rPr>
      </w:pPr>
      <w:hyperlink r:id="rId7" w:history="1">
        <w:r w:rsidRPr="00134E69">
          <w:rPr>
            <w:rStyle w:val="a5"/>
            <w:rFonts w:ascii="Arial" w:eastAsia="微軟正黑體" w:hAnsi="Arial" w:cs="Arial"/>
            <w:sz w:val="28"/>
            <w:szCs w:val="28"/>
          </w:rPr>
          <w:t>https://www.figma.com/proto/q5NwxJRBsfLTIXxtkkRD9f/%E5%AE%A2%E8%B2%A8%E5%85%B1%E8%BC%89app-%E7%99%BB%E5%85%A5%E4%BB%8B%E9%9D%A2?node-id=103%3A25&amp;scaling=scale-down&amp;page-id=0%3A1&amp;starting-point-node-id=103%3A25&amp;show-proto-sidebar=1</w:t>
        </w:r>
      </w:hyperlink>
    </w:p>
    <w:p w14:paraId="0EFEBFE5" w14:textId="77777777" w:rsidR="00025702" w:rsidRPr="00025702" w:rsidRDefault="00025702" w:rsidP="002C7800">
      <w:pPr>
        <w:snapToGrid w:val="0"/>
        <w:rPr>
          <w:rFonts w:ascii="Arial" w:eastAsia="微軟正黑體" w:hAnsi="Arial" w:cs="Arial" w:hint="eastAsia"/>
          <w:color w:val="000000"/>
          <w:sz w:val="28"/>
          <w:szCs w:val="28"/>
        </w:rPr>
      </w:pPr>
    </w:p>
    <w:p w14:paraId="63E407B8" w14:textId="48E1B85C" w:rsidR="001572D4" w:rsidRPr="00B448D2" w:rsidRDefault="001572D4" w:rsidP="002C7800">
      <w:pPr>
        <w:snapToGrid w:val="0"/>
        <w:rPr>
          <w:rFonts w:ascii="Arial" w:eastAsia="微軟正黑體" w:hAnsi="Arial" w:cs="Arial"/>
          <w:color w:val="000000"/>
          <w:sz w:val="28"/>
          <w:szCs w:val="28"/>
        </w:rPr>
      </w:pPr>
    </w:p>
    <w:p w14:paraId="3E091940" w14:textId="77777777" w:rsidR="00C02696" w:rsidRPr="00B448D2" w:rsidRDefault="00C02696" w:rsidP="002C7800">
      <w:pPr>
        <w:snapToGrid w:val="0"/>
        <w:rPr>
          <w:rFonts w:ascii="Arial" w:eastAsia="微軟正黑體" w:hAnsi="Arial"/>
          <w:color w:val="0070C0"/>
          <w:sz w:val="32"/>
          <w:szCs w:val="32"/>
        </w:rPr>
      </w:pPr>
    </w:p>
    <w:sectPr w:rsidR="00C02696" w:rsidRPr="00B448D2" w:rsidSect="00321DB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E90"/>
    <w:multiLevelType w:val="hybridMultilevel"/>
    <w:tmpl w:val="C64C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83AAD"/>
    <w:multiLevelType w:val="hybridMultilevel"/>
    <w:tmpl w:val="C64C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8C2AB0"/>
    <w:multiLevelType w:val="multilevel"/>
    <w:tmpl w:val="CE5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29E5"/>
    <w:multiLevelType w:val="hybridMultilevel"/>
    <w:tmpl w:val="B27E1E8C"/>
    <w:lvl w:ilvl="0" w:tplc="C1568B14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070149"/>
    <w:multiLevelType w:val="hybridMultilevel"/>
    <w:tmpl w:val="C64C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8133AE"/>
    <w:multiLevelType w:val="hybridMultilevel"/>
    <w:tmpl w:val="C64C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17970"/>
    <w:multiLevelType w:val="hybridMultilevel"/>
    <w:tmpl w:val="C64CE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9D2AE0"/>
    <w:multiLevelType w:val="hybridMultilevel"/>
    <w:tmpl w:val="FB3CD990"/>
    <w:lvl w:ilvl="0" w:tplc="CC7C2656">
      <w:start w:val="1"/>
      <w:numFmt w:val="bullet"/>
      <w:suff w:val="space"/>
      <w:lvlText w:val=""/>
      <w:lvlJc w:val="left"/>
      <w:pPr>
        <w:ind w:left="480" w:hanging="48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9184833"/>
    <w:multiLevelType w:val="hybridMultilevel"/>
    <w:tmpl w:val="C64CE958"/>
    <w:lvl w:ilvl="0" w:tplc="7C9A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EC6B93"/>
    <w:multiLevelType w:val="multilevel"/>
    <w:tmpl w:val="8DA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07191">
    <w:abstractNumId w:val="9"/>
  </w:num>
  <w:num w:numId="2" w16cid:durableId="1379668418">
    <w:abstractNumId w:val="2"/>
  </w:num>
  <w:num w:numId="3" w16cid:durableId="1841773433">
    <w:abstractNumId w:val="8"/>
  </w:num>
  <w:num w:numId="4" w16cid:durableId="2139757577">
    <w:abstractNumId w:val="0"/>
  </w:num>
  <w:num w:numId="5" w16cid:durableId="546264302">
    <w:abstractNumId w:val="6"/>
  </w:num>
  <w:num w:numId="6" w16cid:durableId="1155996981">
    <w:abstractNumId w:val="1"/>
  </w:num>
  <w:num w:numId="7" w16cid:durableId="1696956291">
    <w:abstractNumId w:val="5"/>
  </w:num>
  <w:num w:numId="8" w16cid:durableId="164250617">
    <w:abstractNumId w:val="4"/>
  </w:num>
  <w:num w:numId="9" w16cid:durableId="657614301">
    <w:abstractNumId w:val="3"/>
  </w:num>
  <w:num w:numId="10" w16cid:durableId="1257516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73"/>
    <w:rsid w:val="00025702"/>
    <w:rsid w:val="00025FE3"/>
    <w:rsid w:val="00031ADD"/>
    <w:rsid w:val="0004746F"/>
    <w:rsid w:val="000E6B8C"/>
    <w:rsid w:val="000F2F9D"/>
    <w:rsid w:val="001572D4"/>
    <w:rsid w:val="00195B84"/>
    <w:rsid w:val="00196C32"/>
    <w:rsid w:val="001A417E"/>
    <w:rsid w:val="001F2386"/>
    <w:rsid w:val="00221D4D"/>
    <w:rsid w:val="002238AE"/>
    <w:rsid w:val="00232D20"/>
    <w:rsid w:val="00236E71"/>
    <w:rsid w:val="00244BE2"/>
    <w:rsid w:val="00266BD2"/>
    <w:rsid w:val="002A2C9E"/>
    <w:rsid w:val="002C50FE"/>
    <w:rsid w:val="002C7800"/>
    <w:rsid w:val="00321DBB"/>
    <w:rsid w:val="003A532E"/>
    <w:rsid w:val="003B363D"/>
    <w:rsid w:val="003D68CE"/>
    <w:rsid w:val="003E1659"/>
    <w:rsid w:val="00442DAE"/>
    <w:rsid w:val="004C0258"/>
    <w:rsid w:val="004E0A23"/>
    <w:rsid w:val="004E4131"/>
    <w:rsid w:val="00566188"/>
    <w:rsid w:val="00596CA5"/>
    <w:rsid w:val="005F6DDA"/>
    <w:rsid w:val="00600A27"/>
    <w:rsid w:val="0060633D"/>
    <w:rsid w:val="00625848"/>
    <w:rsid w:val="006A0B4D"/>
    <w:rsid w:val="006A6326"/>
    <w:rsid w:val="00706340"/>
    <w:rsid w:val="00707218"/>
    <w:rsid w:val="007150BF"/>
    <w:rsid w:val="007A6722"/>
    <w:rsid w:val="007E18F3"/>
    <w:rsid w:val="00864EF6"/>
    <w:rsid w:val="008A060D"/>
    <w:rsid w:val="008A1873"/>
    <w:rsid w:val="008D6CF5"/>
    <w:rsid w:val="00980E80"/>
    <w:rsid w:val="00982855"/>
    <w:rsid w:val="009B588B"/>
    <w:rsid w:val="009C14CC"/>
    <w:rsid w:val="009D63B7"/>
    <w:rsid w:val="009D6A76"/>
    <w:rsid w:val="009F275D"/>
    <w:rsid w:val="00A2494D"/>
    <w:rsid w:val="00A80754"/>
    <w:rsid w:val="00AD4876"/>
    <w:rsid w:val="00AF2115"/>
    <w:rsid w:val="00B263DD"/>
    <w:rsid w:val="00B448D2"/>
    <w:rsid w:val="00BA1F51"/>
    <w:rsid w:val="00BC3AC6"/>
    <w:rsid w:val="00C02696"/>
    <w:rsid w:val="00C057F7"/>
    <w:rsid w:val="00C33591"/>
    <w:rsid w:val="00C477A6"/>
    <w:rsid w:val="00CA4A64"/>
    <w:rsid w:val="00D1570D"/>
    <w:rsid w:val="00DC6BA6"/>
    <w:rsid w:val="00DD2954"/>
    <w:rsid w:val="00DE612B"/>
    <w:rsid w:val="00E23619"/>
    <w:rsid w:val="00E775F8"/>
    <w:rsid w:val="00EE725B"/>
    <w:rsid w:val="00F14601"/>
    <w:rsid w:val="00F21968"/>
    <w:rsid w:val="00F609F8"/>
    <w:rsid w:val="00F63573"/>
    <w:rsid w:val="00F946BC"/>
    <w:rsid w:val="00FB0E81"/>
    <w:rsid w:val="00FD08A3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4890"/>
  <w15:chartTrackingRefBased/>
  <w15:docId w15:val="{62C0CFA4-81B6-4DF0-8C84-0E8AFB01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063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8D6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DDA"/>
    <w:pPr>
      <w:ind w:leftChars="200" w:left="480"/>
    </w:pPr>
  </w:style>
  <w:style w:type="character" w:styleId="a5">
    <w:name w:val="Hyperlink"/>
    <w:basedOn w:val="a0"/>
    <w:uiPriority w:val="99"/>
    <w:unhideWhenUsed/>
    <w:rsid w:val="000257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q5NwxJRBsfLTIXxtkkRD9f/%E5%AE%A2%E8%B2%A8%E5%85%B1%E8%BC%89app-%E7%99%BB%E5%85%A5%E4%BB%8B%E9%9D%A2?node-id=103%3A25&amp;scaling=scale-down&amp;page-id=0%3A1&amp;starting-point-node-id=103%3A25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C109118117</dc:creator>
  <cp:keywords/>
  <dc:description/>
  <cp:lastModifiedBy>Even Lin</cp:lastModifiedBy>
  <cp:revision>73</cp:revision>
  <dcterms:created xsi:type="dcterms:W3CDTF">2022-10-17T12:00:00Z</dcterms:created>
  <dcterms:modified xsi:type="dcterms:W3CDTF">2022-10-17T14:46:00Z</dcterms:modified>
</cp:coreProperties>
</file>