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Deploying Machine Learning to Detect Social Phobia in UK School Students: A Validated Screening Tool Using Routine Wellbeing Data</w:t>
      </w:r>
    </w:p>
    <w:p>
      <w:pPr>
        <w:pStyle w:val="Author"/>
      </w:pPr>
      <w:r>
        <w:t xml:space="preserve">Mageswaran — Social Phobia Detection Research Project</w:t>
      </w:r>
    </w:p>
    <w:p>
      <w:pPr>
        <w:pStyle w:val="Date"/>
      </w:pPr>
      <w:r>
        <w:t xml:space="preserve">July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9" w:name="abstract"/>
    <w:p>
      <w:pPr>
        <w:pStyle w:val="Heading1"/>
      </w:pPr>
      <w:r>
        <w:rPr>
          <w:rStyle w:val="SectionNumber"/>
        </w:rPr>
        <w:t xml:space="preserve">1</w:t>
      </w:r>
      <w:r>
        <w:tab/>
      </w:r>
      <w:r>
        <w:t xml:space="preserve">Abstract</w:t>
      </w:r>
    </w:p>
    <w:p>
      <w:pPr>
        <w:pStyle w:val="FirstParagraph"/>
      </w:pPr>
      <w:r>
        <w:t xml:space="preserve">Social phobia affects approximately 2% of secondary school students in England, yet most cases go unidentified until the condition has already disrupted academic performance and social development. This paper presents the development, validation, and calibration of a machine learning screening tool that identifies social phobia risk in school-aged children (11–18 years) using the Strengths and Difficulties Questionnaire (SDQ) and Warwick-Edinburgh Mental Wellbeing Scale (WEMWBS) — instruments already administered in many English schools as part of routine wellbeing monitoring. Using the nationally representative Mental Health of Children and Young People in England 2017 survey (MHCYP 2017; UKDA Study 8467; n = 3,749; 457 school clusters; 75 confirmed ICD-10 social phobia cases), a Logistic Regression classifier was trained within a nested cross-validation framework with school-cluster grouping to prevent data leakage. Platt Scaling calibration reduced the Expected Calibration Error from 0.243 to 0.005, ensuring predicted probabilities reflect the true 2% population base rate. The final model (v5) achieves cross-validated recall of 0.920 and test-set recall of 0.933, exceeding the pre-specified clinical deployment gate of ≥ 0.85. SHAP explainability analysis identified self-reported emotional difficulties (SDQ), parent-reported emotional difficulties (SDQ), and low wellbeing (WEMWBS) as the dominant predictive features, consistent with established clinical understanding of social phobia. A surrogate decision tree reproduced 92.5% of model decisions using only three features, providing a practitioner-accessible summary of the model’s logic. A fairness audit revealed a parity gap of 0.143 across demographic subgroups, flagging the 14–16 age group for clinical review. The tool requires no new data collection and is accompanied by a full model card, fairness audit, and SHAP outputs for UKDA deposit.</w:t>
      </w:r>
    </w:p>
    <w:p>
      <w:pPr>
        <w:pStyle w:val="BodyText"/>
      </w:pPr>
      <w:r>
        <w:rPr>
          <w:b/>
          <w:bCs/>
        </w:rPr>
        <w:t xml:space="preserve">Keywords:</w:t>
      </w:r>
      <w:r>
        <w:t xml:space="preserve"> </w:t>
      </w:r>
      <w:r>
        <w:t xml:space="preserve">social phobia, social anxiety disorder, machine learning, SDQ, WEMWBS, school mental health, SHAP, Platt Scaling, early identification, MHCYP 2017</w:t>
      </w:r>
    </w:p>
    <w:p>
      <w:r>
        <w:pict>
          <v:rect style="width:0;height:1.5pt" o:hralign="center" o:hrstd="t" o:hr="t"/>
        </w:pict>
      </w:r>
    </w:p>
    <w:bookmarkEnd w:id="9"/>
    <w:bookmarkStart w:id="11" w:name="i.-introduction"/>
    <w:p>
      <w:pPr>
        <w:pStyle w:val="Heading1"/>
      </w:pPr>
      <w:r>
        <w:rPr>
          <w:rStyle w:val="SectionNumber"/>
        </w:rPr>
        <w:t xml:space="preserve">2</w:t>
      </w:r>
      <w:r>
        <w:tab/>
      </w:r>
      <w:r>
        <w:t xml:space="preserve">I. Introduction</w:t>
      </w:r>
    </w:p>
    <w:p>
      <w:pPr>
        <w:pStyle w:val="FirstParagraph"/>
      </w:pPr>
      <w:r>
        <w:t xml:space="preserve">Social phobia — clinically designated social anxiety disorder (SAD) — is characterised by a persistent, marked fear of social or performance situations in which the individual is exposed to possible scrutiny by others [1]. In adolescent populations, it ranks among the most prevalent anxiety disorders, with a typical onset between ages 11 and 15 and UK population prevalence estimates of 1–2% for clinical-threshold cases (NICE CG159, 2013) [2]. Despite its substantial burden — including impaired academic attainment, school avoidance, and elevated risk of depression — the condition remains systematically under-identified in school settings. Its presentation (withdrawal, silence, avoidance of classroom participation) is frequently misread by educators as introversion or disengagement rather than clinical anxiety [3].</w:t>
      </w:r>
    </w:p>
    <w:p>
      <w:pPr>
        <w:pStyle w:val="BodyText"/>
      </w:pPr>
      <w:r>
        <w:t xml:space="preserve">The current identification pathway is reactive: a teacher or parent raises a concern, the child is referred to Child and Adolescent Mental Health Services (CAMHS), and a waiting list begins. The typical gap between onset and treatment exceeds a decade [2]. A proactive, data-driven screening tool that analyses routinely collected wellbeing data could shift this pathway toward earlier identification, enabling pastoral staff to initiate supportive conversations before distress escalates into a chronic condition.</w:t>
      </w:r>
    </w:p>
    <w:p>
      <w:pPr>
        <w:pStyle w:val="BodyText"/>
      </w:pPr>
      <w:r>
        <w:t xml:space="preserve">Machine learning approaches to detecting anxiety and mental health conditions in educational settings have attracted growing research interest. Abinaya and Vadivu [4] demonstrated the use of the Social Phobia Inventory (SPIN) questionnaire combined with k-means clustering and decision tree classifiers to profile social anxiety subgroups in 525 high school students, achieving meaningful cluster separation across five severity levels. Pintelas et al. [5] reviewed machine learning prediction methods for anxiety disorders, noting that ensemble methods and neural networks demonstrate strong generalisation but limited interpretability — a critical limitation in safeguarding contexts. Kim et al. [6] applied support vector machines to resting-state fMRI data to predict social anxiety, while Chavanne [7] used gradient boosting to predict anxiety onset in adolescents from behavioural data.</w:t>
      </w:r>
    </w:p>
    <w:p>
      <w:pPr>
        <w:pStyle w:val="BodyText"/>
      </w:pPr>
      <w:r>
        <w:t xml:space="preserve">A key gap in the existing literature is the absence of validated, deployable screening tools that use instruments already embedded in UK school systems — requiring no additional data collection, no clinical assessment infrastructure, and no SPIN-specific questionnaire administration. The present study addresses this gap directly. The original research proposal planned to use the SPIN questionnaire as both the feature source and the outcome label. Upon accessing UKDA-8467, however, it was found that MHCYP 2017 uses the Development and Well-Being Assessment (DAWBA) to produce ICD-10 clinical ratings, not the SPIN instrument. The pipeline was redesigned to use ICD-10 social phobia as the binary target and SDQ subscales and WEMWBS as the feature backbone — an approach justified by large between-group effect sizes (reported in Section III) and aligned with the UK CAMHS referral framework.</w:t>
      </w:r>
    </w:p>
    <w:bookmarkStart w:id="10" w:name="a.-research-questions"/>
    <w:p>
      <w:pPr>
        <w:pStyle w:val="Heading2"/>
      </w:pPr>
      <w:r>
        <w:rPr>
          <w:rStyle w:val="SectionNumber"/>
        </w:rPr>
        <w:t xml:space="preserve">2.1</w:t>
      </w:r>
      <w:r>
        <w:tab/>
      </w:r>
      <w:r>
        <w:t xml:space="preserve">A. Research Questions</w:t>
      </w:r>
    </w:p>
    <w:p>
      <w:pPr>
        <w:pStyle w:val="FirstParagraph"/>
      </w:pPr>
      <w:r>
        <w:rPr>
          <w:b/>
          <w:bCs/>
        </w:rPr>
        <w:t xml:space="preserve">RQ1:</w:t>
      </w:r>
      <w:r>
        <w:t xml:space="preserve"> </w:t>
      </w:r>
      <w:r>
        <w:t xml:space="preserve">How accurately can a machine learning model classify social phobia risk in school-aged children using SDQ and WEMWBS data, and does it meet the clinical deployment gate of sensitivity ≥ 85%?</w:t>
      </w:r>
    </w:p>
    <w:p>
      <w:pPr>
        <w:pStyle w:val="BodyText"/>
      </w:pPr>
      <w:r>
        <w:rPr>
          <w:b/>
          <w:bCs/>
        </w:rPr>
        <w:t xml:space="preserve">RQ2:</w:t>
      </w:r>
      <w:r>
        <w:t xml:space="preserve"> </w:t>
      </w:r>
      <w:r>
        <w:t xml:space="preserve">To what extent can calibrated risk predictions and explainable model outputs inform school-level interventions and contribute to safeguarding and mental health policy?</w:t>
      </w:r>
    </w:p>
    <w:p>
      <w:r>
        <w:pict>
          <v:rect style="width:0;height:1.5pt" o:hralign="center" o:hrstd="t" o:hr="t"/>
        </w:pict>
      </w:r>
    </w:p>
    <w:bookmarkEnd w:id="10"/>
    <w:bookmarkEnd w:id="11"/>
    <w:bookmarkStart w:id="12" w:name="ii.-related-work"/>
    <w:p>
      <w:pPr>
        <w:pStyle w:val="Heading1"/>
      </w:pPr>
      <w:r>
        <w:rPr>
          <w:rStyle w:val="SectionNumber"/>
        </w:rPr>
        <w:t xml:space="preserve">3</w:t>
      </w:r>
      <w:r>
        <w:tab/>
      </w:r>
      <w:r>
        <w:t xml:space="preserve">II. Related Work</w:t>
      </w:r>
    </w:p>
    <w:p>
      <w:pPr>
        <w:pStyle w:val="FirstParagraph"/>
      </w:pPr>
      <w:r>
        <w:t xml:space="preserve">Machine learning has been applied to the detection of social anxiety and related mental health conditions across a range of data sources and methodological approaches. Abinaya and Vadivu [4] employed k-means clustering and decision trees on 17-item SPIN responses from 525 Indian high school students, identifying five distinct social anxiety severity subgroups and demonstrating that avoidance-related items (Q4, Q11) and anxiety-related items (Q6, Q15) carried the strongest cluster-discriminating signal. Their study was among the first to apply unsupervised learning to SPIN data in a school setting, though it did not include a held-out validation set or calibrated probability outputs.</w:t>
      </w:r>
    </w:p>
    <w:p>
      <w:pPr>
        <w:pStyle w:val="BodyText"/>
      </w:pPr>
      <w:r>
        <w:t xml:space="preserve">Pintelas et al. [5] reviewed 23 machine learning studies on anxiety disorder prediction, concluding that ensemble methods (Random Forest, XGBoost) achieved the highest accuracy on structured questionnaire data but that interpretability remained a key barrier to clinical adoption. Their review highlighted the importance of sensitivity as the primary evaluation metric in mental health screening tasks, where false negatives carry greater harm than false positives — a principle adopted as the primary deployment gate in the present study.</w:t>
      </w:r>
    </w:p>
    <w:p>
      <w:pPr>
        <w:pStyle w:val="BodyText"/>
      </w:pPr>
      <w:r>
        <w:t xml:space="preserve">Ahmed et al. [8] conducted a scoping review of machine learning models for detecting anxiety and depression through social media data, identifying 47 studies across Twitter, Reddit, and Instagram. While natural language processing approaches showed promise, the authors noted that social media data is not accessible to schools in a systematic or GDPR-compliant form, limiting practical deployment. The present study’s use of established psychometric instruments (SDQ, WEMWBS) addresses this limitation.</w:t>
      </w:r>
    </w:p>
    <w:p>
      <w:pPr>
        <w:pStyle w:val="BodyText"/>
      </w:pPr>
      <w:r>
        <w:t xml:space="preserve">Carpenter et al. [9] used machine learning to quantify anxiety disorder risk in preschool children, applying Random Forest classifiers to structured behavioural assessment data and achieving AUC-ROC of 0.83. Their work established several methodological precedents adopted here: nested cross-validation, class-weighted training to handle prevalence imbalance, and SHAP-based feature attribution for clinical interpretability.</w:t>
      </w:r>
    </w:p>
    <w:p>
      <w:pPr>
        <w:pStyle w:val="BodyText"/>
      </w:pPr>
      <w:r>
        <w:t xml:space="preserve">In the UK context, Russell and Topham [10] examined the impact of social anxiety on student learning and wellbeing in higher education, finding that socially anxious students were significantly less likely to seek academic help and reported lower mean scores across engagement metrics. Their work supports the educational policy case for earlier identification in the secondary school years, when social anxiety commonly first presents.</w:t>
      </w:r>
    </w:p>
    <w:p>
      <w:pPr>
        <w:pStyle w:val="BodyText"/>
      </w:pPr>
      <w:r>
        <w:t xml:space="preserve">The present study extends this body of work in three directions: (1) it uses a nationally representative UK sample with ICD-10 clinical diagnoses as the target label, rather than self-report screening thresholds; (2) it enforces school-cluster grouping throughout cross-validation, preventing the data leakage that would arise if students from the same school appeared in both training and test sets; and (3) it addresses probability calibration — an aspect largely absent from the prior literature — through Platt Scaling, producing outputs that reflect the true population base rate.</w:t>
      </w:r>
    </w:p>
    <w:p>
      <w:r>
        <w:pict>
          <v:rect style="width:0;height:1.5pt" o:hralign="center" o:hrstd="t" o:hr="t"/>
        </w:pict>
      </w:r>
    </w:p>
    <w:bookmarkEnd w:id="12"/>
    <w:bookmarkStart w:id="18" w:name="iii.-dataset-and-participants"/>
    <w:p>
      <w:pPr>
        <w:pStyle w:val="Heading1"/>
      </w:pPr>
      <w:r>
        <w:rPr>
          <w:rStyle w:val="SectionNumber"/>
        </w:rPr>
        <w:t xml:space="preserve">4</w:t>
      </w:r>
      <w:r>
        <w:tab/>
      </w:r>
      <w:r>
        <w:t xml:space="preserve">III. Dataset and Participants</w:t>
      </w:r>
    </w:p>
    <w:bookmarkStart w:id="13" w:name="a.-data-source"/>
    <w:p>
      <w:pPr>
        <w:pStyle w:val="Heading2"/>
      </w:pPr>
      <w:r>
        <w:rPr>
          <w:rStyle w:val="SectionNumber"/>
        </w:rPr>
        <w:t xml:space="preserve">4.1</w:t>
      </w:r>
      <w:r>
        <w:tab/>
      </w:r>
      <w:r>
        <w:t xml:space="preserve">A. Data Source</w:t>
      </w:r>
    </w:p>
    <w:p>
      <w:pPr>
        <w:pStyle w:val="FirstParagraph"/>
      </w:pPr>
      <w:r>
        <w:t xml:space="preserve">The Mental Health of Children and Young People in England 2017 (MHCYP 2017) survey is a nationally representative cross-sectional study of the mental health of 5–19 year olds in England, conducted by NHS Digital and archived at the UK Data Archive (Study 8467). Access was obtained under Special Licence conditions. The dataset spans 9,117 participants across a complex multi-stage probability sample of 457+ primary sampling units (PSUs, representing school clusters). The full dataset contains 2,288 variables covering clinical diagnoses (DAWBA), self-report measures (SDQ, WEMWBS), demographics, and service use.</w:t>
      </w:r>
    </w:p>
    <w:bookmarkEnd w:id="13"/>
    <w:bookmarkStart w:id="14" w:name="b.-working-subset"/>
    <w:p>
      <w:pPr>
        <w:pStyle w:val="Heading2"/>
      </w:pPr>
      <w:r>
        <w:rPr>
          <w:rStyle w:val="SectionNumber"/>
        </w:rPr>
        <w:t xml:space="preserve">4.2</w:t>
      </w:r>
      <w:r>
        <w:tab/>
      </w:r>
      <w:r>
        <w:t xml:space="preserve">B. Working Subset</w:t>
      </w:r>
    </w:p>
    <w:p>
      <w:pPr>
        <w:pStyle w:val="FirstParagraph"/>
      </w:pPr>
      <w:r>
        <w:t xml:space="preserve">The analysis subset comprised</w:t>
      </w:r>
      <w:r>
        <w:t xml:space="preserve"> </w:t>
      </w:r>
      <w:r>
        <w:rPr>
          <w:b/>
          <w:bCs/>
        </w:rPr>
        <w:t xml:space="preserve">3,749 participants aged 11–18</w:t>
      </w:r>
      <w:r>
        <w:t xml:space="preserve"> </w:t>
      </w:r>
      <w:r>
        <w:t xml:space="preserve">drawn from</w:t>
      </w:r>
      <w:r>
        <w:t xml:space="preserve"> </w:t>
      </w:r>
      <w:r>
        <w:rPr>
          <w:b/>
          <w:bCs/>
        </w:rPr>
        <w:t xml:space="preserve">457 school PSU clusters</w:t>
      </w:r>
      <w:r>
        <w:t xml:space="preserve">. This age range was selected to correspond to the secondary school population relevant to the research question.</w:t>
      </w:r>
    </w:p>
    <w:p>
      <w:pPr>
        <w:pStyle w:val="BodyText"/>
      </w:pPr>
      <w:r>
        <w:rPr>
          <w:b/>
          <w:bCs/>
        </w:rPr>
        <w:t xml:space="preserve">Table I. Participant Characteristics (n = 3,749)</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Characteristic</w:t>
            </w:r>
          </w:p>
        </w:tc>
        <w:tc>
          <w:tcPr/>
          <w:p>
            <w:pPr>
              <w:pStyle w:val="Compact"/>
            </w:pPr>
            <w:r>
              <w:t xml:space="preserve">Value</w:t>
            </w:r>
          </w:p>
        </w:tc>
      </w:tr>
      <w:tr>
        <w:tc>
          <w:tcPr/>
          <w:p>
            <w:pPr>
              <w:pStyle w:val="Compact"/>
            </w:pPr>
            <w:r>
              <w:t xml:space="preserve">Age, M (SD)</w:t>
            </w:r>
          </w:p>
        </w:tc>
        <w:tc>
          <w:tcPr/>
          <w:p>
            <w:pPr>
              <w:pStyle w:val="Compact"/>
            </w:pPr>
            <w:r>
              <w:t xml:space="preserve">14.1 (2.2) years</w:t>
            </w:r>
          </w:p>
        </w:tc>
      </w:tr>
      <w:tr>
        <w:tc>
          <w:tcPr/>
          <w:p>
            <w:pPr>
              <w:pStyle w:val="Compact"/>
            </w:pPr>
            <w:r>
              <w:t xml:space="preserve">Age range</w:t>
            </w:r>
          </w:p>
        </w:tc>
        <w:tc>
          <w:tcPr/>
          <w:p>
            <w:pPr>
              <w:pStyle w:val="Compact"/>
            </w:pPr>
            <w:r>
              <w:t xml:space="preserve">11–18 years</w:t>
            </w:r>
          </w:p>
        </w:tc>
      </w:tr>
      <w:tr>
        <w:tc>
          <w:tcPr/>
          <w:p>
            <w:pPr>
              <w:pStyle w:val="Compact"/>
            </w:pPr>
            <w:r>
              <w:t xml:space="preserve">Male</w:t>
            </w:r>
          </w:p>
        </w:tc>
        <w:tc>
          <w:tcPr/>
          <w:p>
            <w:pPr>
              <w:pStyle w:val="Compact"/>
            </w:pPr>
            <w:r>
              <w:t xml:space="preserve">50.1%</w:t>
            </w:r>
          </w:p>
        </w:tc>
      </w:tr>
      <w:tr>
        <w:tc>
          <w:tcPr/>
          <w:p>
            <w:pPr>
              <w:pStyle w:val="Compact"/>
            </w:pPr>
            <w:r>
              <w:t xml:space="preserve">Female</w:t>
            </w:r>
          </w:p>
        </w:tc>
        <w:tc>
          <w:tcPr/>
          <w:p>
            <w:pPr>
              <w:pStyle w:val="Compact"/>
            </w:pPr>
            <w:r>
              <w:t xml:space="preserve">49.9%</w:t>
            </w:r>
          </w:p>
        </w:tc>
      </w:tr>
      <w:tr>
        <w:tc>
          <w:tcPr/>
          <w:p>
            <w:pPr>
              <w:pStyle w:val="Compact"/>
            </w:pPr>
            <w:r>
              <w:t xml:space="preserve">SEN status (any)</w:t>
            </w:r>
          </w:p>
        </w:tc>
        <w:tc>
          <w:tcPr/>
          <w:p>
            <w:pPr>
              <w:pStyle w:val="Compact"/>
            </w:pPr>
            <w:r>
              <w:t xml:space="preserve">9.2%</w:t>
            </w:r>
          </w:p>
        </w:tc>
      </w:tr>
      <w:tr>
        <w:tc>
          <w:tcPr/>
          <w:p>
            <w:pPr>
              <w:pStyle w:val="Compact"/>
            </w:pPr>
            <w:r>
              <w:t xml:space="preserve">Deprivation Q1–Q2 (most deprived)</w:t>
            </w:r>
          </w:p>
        </w:tc>
        <w:tc>
          <w:tcPr/>
          <w:p>
            <w:pPr>
              <w:pStyle w:val="Compact"/>
            </w:pPr>
            <w:r>
              <w:t xml:space="preserve">35.0%</w:t>
            </w:r>
          </w:p>
        </w:tc>
      </w:tr>
      <w:tr>
        <w:tc>
          <w:tcPr/>
          <w:p>
            <w:pPr>
              <w:pStyle w:val="Compact"/>
            </w:pPr>
            <w:r>
              <w:t xml:space="preserve">Deprivation Q4–Q5 (least deprived)</w:t>
            </w:r>
          </w:p>
        </w:tc>
        <w:tc>
          <w:tcPr/>
          <w:p>
            <w:pPr>
              <w:pStyle w:val="Compact"/>
            </w:pPr>
            <w:r>
              <w:t xml:space="preserve">43.3%</w:t>
            </w:r>
          </w:p>
        </w:tc>
      </w:tr>
      <w:tr>
        <w:tc>
          <w:tcPr/>
          <w:p>
            <w:pPr>
              <w:pStyle w:val="Compact"/>
            </w:pPr>
            <w:r>
              <w:t xml:space="preserve">School PSU clusters</w:t>
            </w:r>
          </w:p>
        </w:tc>
        <w:tc>
          <w:tcPr/>
          <w:p>
            <w:pPr>
              <w:pStyle w:val="Compact"/>
            </w:pPr>
            <w:r>
              <w:t xml:space="preserve">457</w:t>
            </w:r>
          </w:p>
        </w:tc>
      </w:tr>
    </w:tbl>
    <w:bookmarkEnd w:id="14"/>
    <w:bookmarkStart w:id="15" w:name="c.-case-identification"/>
    <w:p>
      <w:pPr>
        <w:pStyle w:val="Heading2"/>
      </w:pPr>
      <w:r>
        <w:rPr>
          <w:rStyle w:val="SectionNumber"/>
        </w:rPr>
        <w:t xml:space="preserve">4.3</w:t>
      </w:r>
      <w:r>
        <w:tab/>
      </w:r>
      <w:r>
        <w:t xml:space="preserve">C. Case Identification</w:t>
      </w:r>
    </w:p>
    <w:p>
      <w:pPr>
        <w:pStyle w:val="FirstParagraph"/>
      </w:pPr>
      <w:r>
        <w:t xml:space="preserve">ICD-10 social phobia was identified via DAWBA clinical ratings (</w:t>
      </w:r>
      <w:r>
        <w:rPr>
          <w:rStyle w:val="VerbatimChar"/>
        </w:rPr>
        <w:t xml:space="preserve">dcsoph = 2</w:t>
      </w:r>
      <w:r>
        <w:t xml:space="preserve">), yielding</w:t>
      </w:r>
      <w:r>
        <w:t xml:space="preserve"> </w:t>
      </w:r>
      <w:r>
        <w:rPr>
          <w:b/>
          <w:bCs/>
        </w:rPr>
        <w:t xml:space="preserve">75 confirmed cases (2.0%; 95% CI: 1.6–2.5%)</w:t>
      </w:r>
      <w:r>
        <w:t xml:space="preserve"> </w:t>
      </w:r>
      <w:r>
        <w:t xml:space="preserve">— a positive-to-negative ratio of 1:49. This prevalence is consistent with published UK estimates for clinical-threshold social phobia in school-age adolescents (NICE CG159, 2013) [2]. The ICD-10 label was preferred over the DSM-5 equivalent (~32 cases) because it yields more than twice as many positives, improving cross-validation stability, and remains the clinically relevant framework for CAMHS referral pathways in England.</w:t>
      </w:r>
    </w:p>
    <w:bookmarkEnd w:id="15"/>
    <w:bookmarkStart w:id="16" w:name="d.-descriptive-statistics"/>
    <w:p>
      <w:pPr>
        <w:pStyle w:val="Heading2"/>
      </w:pPr>
      <w:r>
        <w:rPr>
          <w:rStyle w:val="SectionNumber"/>
        </w:rPr>
        <w:t xml:space="preserve">4.4</w:t>
      </w:r>
      <w:r>
        <w:tab/>
      </w:r>
      <w:r>
        <w:t xml:space="preserve">D. Descriptive Statistics</w:t>
      </w:r>
    </w:p>
    <w:p>
      <w:pPr>
        <w:pStyle w:val="FirstParagraph"/>
      </w:pPr>
      <w:r>
        <w:t xml:space="preserve">Large between-group differences were observed across all primary features, confirming that the SDQ-WEMWBS feature set provides strong discriminative signal for ICD-10 social phobia.</w:t>
      </w:r>
    </w:p>
    <w:p>
      <w:pPr>
        <w:pStyle w:val="BodyText"/>
      </w:pPr>
      <w:r>
        <w:rPr>
          <w:b/>
          <w:bCs/>
        </w:rPr>
        <w:t xml:space="preserve">Table II. SDQ and WEMWBS Scores by Case Status</w:t>
      </w:r>
    </w:p>
    <w:tbl>
      <w:tblPr>
        <w:tblStyle w:val="Table"/>
        <w:tblW w:type="pct" w:w="5000"/>
        <w:tblLayout w:type="fixed"/>
        <w:tblLook w:firstRow="1" w:lastRow="0" w:firstColumn="0" w:lastColumn="0" w:noHBand="0" w:noVBand="0" w:val="0020"/>
      </w:tblPr>
      <w:tblGrid>
        <w:gridCol w:w="1188"/>
        <w:gridCol w:w="2508"/>
        <w:gridCol w:w="1452"/>
        <w:gridCol w:w="1848"/>
        <w:gridCol w:w="528"/>
        <w:gridCol w:w="396"/>
      </w:tblGrid>
      <w:tr>
        <w:trPr>
          <w:tblHeader w:val="on"/>
        </w:trPr>
        <w:tc>
          <w:tcPr/>
          <w:p>
            <w:pPr>
              <w:pStyle w:val="Compact"/>
            </w:pPr>
            <w:r>
              <w:t xml:space="preserve">Measure</w:t>
            </w:r>
          </w:p>
        </w:tc>
        <w:tc>
          <w:tcPr/>
          <w:p>
            <w:pPr>
              <w:pStyle w:val="Compact"/>
            </w:pPr>
            <w:r>
              <w:t xml:space="preserve">Full Sample M (SD)</w:t>
            </w:r>
          </w:p>
        </w:tc>
        <w:tc>
          <w:tcPr/>
          <w:p>
            <w:pPr>
              <w:pStyle w:val="Compact"/>
            </w:pPr>
            <w:r>
              <w:t xml:space="preserve">Cases M (n=75)</w:t>
            </w:r>
          </w:p>
        </w:tc>
        <w:tc>
          <w:tcPr/>
          <w:p>
            <w:pPr>
              <w:pStyle w:val="Compact"/>
            </w:pPr>
            <w:r>
              <w:t xml:space="preserve">Controls M (n=3,674)</w:t>
            </w:r>
          </w:p>
        </w:tc>
        <w:tc>
          <w:tcPr/>
          <w:p>
            <w:pPr>
              <w:pStyle w:val="Compact"/>
            </w:pPr>
            <w:r>
              <w:t xml:space="preserve">Cohen</w:t>
            </w:r>
            <w:r>
              <w:t xml:space="preserve"> </w:t>
            </w:r>
            <w:r>
              <w:rPr>
                <w:i/>
                <w:iCs/>
              </w:rPr>
              <w:t xml:space="preserve">d</w:t>
            </w:r>
          </w:p>
        </w:tc>
        <w:tc>
          <w:tcPr/>
          <w:p>
            <w:pPr>
              <w:pStyle w:val="Compact"/>
            </w:pPr>
            <w:r>
              <w:rPr>
                <w:i/>
                <w:iCs/>
              </w:rPr>
              <w:t xml:space="preserve">p</w:t>
            </w:r>
          </w:p>
        </w:tc>
      </w:tr>
      <w:tr>
        <w:tc>
          <w:tcPr/>
          <w:p>
            <w:pPr>
              <w:pStyle w:val="Compact"/>
            </w:pPr>
            <w:r>
              <w:t xml:space="preserve">SDQ Emotional (self)</w:t>
            </w:r>
          </w:p>
        </w:tc>
        <w:tc>
          <w:tcPr/>
          <w:p>
            <w:pPr>
              <w:pStyle w:val="Compact"/>
            </w:pPr>
            <w:r>
              <w:t xml:space="preserve">2.66 (2.13)</w:t>
            </w:r>
          </w:p>
        </w:tc>
        <w:tc>
          <w:tcPr/>
          <w:p>
            <w:pPr>
              <w:pStyle w:val="Compact"/>
            </w:pPr>
            <w:r>
              <w:t xml:space="preserve">6.54</w:t>
            </w:r>
          </w:p>
        </w:tc>
        <w:tc>
          <w:tcPr/>
          <w:p>
            <w:pPr>
              <w:pStyle w:val="Compact"/>
            </w:pPr>
            <w:r>
              <w:t xml:space="preserve">2.59</w:t>
            </w:r>
          </w:p>
        </w:tc>
        <w:tc>
          <w:tcPr/>
          <w:p>
            <w:pPr>
              <w:pStyle w:val="Compact"/>
            </w:pPr>
            <w:r>
              <w:t xml:space="preserve">1.92</w:t>
            </w:r>
          </w:p>
        </w:tc>
        <w:tc>
          <w:tcPr/>
          <w:p>
            <w:pPr>
              <w:pStyle w:val="Compact"/>
            </w:pPr>
            <w:r>
              <w:t xml:space="preserve">&lt; .001</w:t>
            </w:r>
          </w:p>
        </w:tc>
      </w:tr>
      <w:tr>
        <w:tc>
          <w:tcPr/>
          <w:p>
            <w:pPr>
              <w:pStyle w:val="Compact"/>
            </w:pPr>
            <w:r>
              <w:t xml:space="preserve">SDQ Peer (self)</w:t>
            </w:r>
          </w:p>
        </w:tc>
        <w:tc>
          <w:tcPr/>
          <w:p>
            <w:pPr>
              <w:pStyle w:val="Compact"/>
            </w:pPr>
            <w:r>
              <w:t xml:space="preserve">1.74 (1.56)</w:t>
            </w:r>
          </w:p>
        </w:tc>
        <w:tc>
          <w:tcPr/>
          <w:p>
            <w:pPr>
              <w:pStyle w:val="Compact"/>
            </w:pPr>
            <w:r>
              <w:t xml:space="preserve">3.74</w:t>
            </w:r>
          </w:p>
        </w:tc>
        <w:tc>
          <w:tcPr/>
          <w:p>
            <w:pPr>
              <w:pStyle w:val="Compact"/>
            </w:pPr>
            <w:r>
              <w:t xml:space="preserve">1.70</w:t>
            </w:r>
          </w:p>
        </w:tc>
        <w:tc>
          <w:tcPr/>
          <w:p>
            <w:pPr>
              <w:pStyle w:val="Compact"/>
            </w:pPr>
            <w:r>
              <w:t xml:space="preserve">1.32</w:t>
            </w:r>
          </w:p>
        </w:tc>
        <w:tc>
          <w:tcPr/>
          <w:p>
            <w:pPr>
              <w:pStyle w:val="Compact"/>
            </w:pPr>
            <w:r>
              <w:t xml:space="preserve">&lt; .001</w:t>
            </w:r>
          </w:p>
        </w:tc>
      </w:tr>
      <w:tr>
        <w:tc>
          <w:tcPr/>
          <w:p>
            <w:pPr>
              <w:pStyle w:val="Compact"/>
            </w:pPr>
            <w:r>
              <w:t xml:space="preserve">SDQ Emotional (parent)</w:t>
            </w:r>
          </w:p>
        </w:tc>
        <w:tc>
          <w:tcPr/>
          <w:p>
            <w:pPr>
              <w:pStyle w:val="Compact"/>
            </w:pPr>
            <w:r>
              <w:t xml:space="preserve">2.36 (2.30)</w:t>
            </w:r>
          </w:p>
        </w:tc>
        <w:tc>
          <w:tcPr/>
          <w:p>
            <w:pPr>
              <w:pStyle w:val="Compact"/>
            </w:pPr>
            <w:r>
              <w:t xml:space="preserve">5.85</w:t>
            </w:r>
          </w:p>
        </w:tc>
        <w:tc>
          <w:tcPr/>
          <w:p>
            <w:pPr>
              <w:pStyle w:val="Compact"/>
            </w:pPr>
            <w:r>
              <w:t xml:space="preserve">2.30</w:t>
            </w:r>
          </w:p>
        </w:tc>
        <w:tc>
          <w:tcPr/>
          <w:p>
            <w:pPr>
              <w:pStyle w:val="Compact"/>
            </w:pPr>
            <w:r>
              <w:t xml:space="preserve">1.58</w:t>
            </w:r>
          </w:p>
        </w:tc>
        <w:tc>
          <w:tcPr/>
          <w:p>
            <w:pPr>
              <w:pStyle w:val="Compact"/>
            </w:pPr>
            <w:r>
              <w:t xml:space="preserve">&lt; .001</w:t>
            </w:r>
          </w:p>
        </w:tc>
      </w:tr>
      <w:tr>
        <w:tc>
          <w:tcPr/>
          <w:p>
            <w:pPr>
              <w:pStyle w:val="Compact"/>
            </w:pPr>
            <w:r>
              <w:t xml:space="preserve">SDQ Peer (parent)</w:t>
            </w:r>
          </w:p>
        </w:tc>
        <w:tc>
          <w:tcPr/>
          <w:p>
            <w:pPr>
              <w:pStyle w:val="Compact"/>
            </w:pPr>
            <w:r>
              <w:t xml:space="preserve">1.65 (1.86)</w:t>
            </w:r>
          </w:p>
        </w:tc>
        <w:tc>
          <w:tcPr/>
          <w:p>
            <w:pPr>
              <w:pStyle w:val="Compact"/>
            </w:pPr>
            <w:r>
              <w:t xml:space="preserve">3.69</w:t>
            </w:r>
          </w:p>
        </w:tc>
        <w:tc>
          <w:tcPr/>
          <w:p>
            <w:pPr>
              <w:pStyle w:val="Compact"/>
            </w:pPr>
            <w:r>
              <w:t xml:space="preserve">1.61</w:t>
            </w:r>
          </w:p>
        </w:tc>
        <w:tc>
          <w:tcPr/>
          <w:p>
            <w:pPr>
              <w:pStyle w:val="Compact"/>
            </w:pPr>
            <w:r>
              <w:t xml:space="preserve">1.13</w:t>
            </w:r>
          </w:p>
        </w:tc>
        <w:tc>
          <w:tcPr/>
          <w:p>
            <w:pPr>
              <w:pStyle w:val="Compact"/>
            </w:pPr>
            <w:r>
              <w:t xml:space="preserve">&lt; .001</w:t>
            </w:r>
          </w:p>
        </w:tc>
      </w:tr>
      <w:tr>
        <w:tc>
          <w:tcPr/>
          <w:p>
            <w:pPr>
              <w:pStyle w:val="Compact"/>
            </w:pPr>
            <w:r>
              <w:t xml:space="preserve">SDQ Total (self, 0–40)</w:t>
            </w:r>
          </w:p>
        </w:tc>
        <w:tc>
          <w:tcPr/>
          <w:p>
            <w:pPr>
              <w:pStyle w:val="Compact"/>
            </w:pPr>
            <w:r>
              <w:t xml:space="preserve">9.58 (5.52)</w:t>
            </w:r>
          </w:p>
        </w:tc>
        <w:tc>
          <w:tcPr/>
          <w:p>
            <w:pPr>
              <w:pStyle w:val="Compact"/>
            </w:pPr>
            <w:r>
              <w:t xml:space="preserve">18.07</w:t>
            </w:r>
          </w:p>
        </w:tc>
        <w:tc>
          <w:tcPr/>
          <w:p>
            <w:pPr>
              <w:pStyle w:val="Compact"/>
            </w:pPr>
            <w:r>
              <w:t xml:space="preserve">9.41</w:t>
            </w:r>
          </w:p>
        </w:tc>
        <w:tc>
          <w:tcPr/>
          <w:p>
            <w:pPr>
              <w:pStyle w:val="Compact"/>
            </w:pPr>
            <w:r>
              <w:t xml:space="preserve">—</w:t>
            </w:r>
          </w:p>
        </w:tc>
        <w:tc>
          <w:tcPr/>
          <w:p>
            <w:pPr>
              <w:pStyle w:val="Compact"/>
            </w:pPr>
            <w:r>
              <w:t xml:space="preserve">&lt; .001</w:t>
            </w:r>
          </w:p>
        </w:tc>
      </w:tr>
      <w:tr>
        <w:tc>
          <w:tcPr/>
          <w:p>
            <w:pPr>
              <w:pStyle w:val="Compact"/>
            </w:pPr>
            <w:r>
              <w:t xml:space="preserve">SDQ Total (parent, 0–40)</w:t>
            </w:r>
          </w:p>
        </w:tc>
        <w:tc>
          <w:tcPr/>
          <w:p>
            <w:pPr>
              <w:pStyle w:val="Compact"/>
            </w:pPr>
            <w:r>
              <w:t xml:space="preserve">8.26 (6.47)</w:t>
            </w:r>
          </w:p>
        </w:tc>
        <w:tc>
          <w:tcPr/>
          <w:p>
            <w:pPr>
              <w:pStyle w:val="Compact"/>
            </w:pPr>
            <w:r>
              <w:t xml:space="preserve">16.11</w:t>
            </w:r>
          </w:p>
        </w:tc>
        <w:tc>
          <w:tcPr/>
          <w:p>
            <w:pPr>
              <w:pStyle w:val="Compact"/>
            </w:pPr>
            <w:r>
              <w:t xml:space="preserve">8.11</w:t>
            </w:r>
          </w:p>
        </w:tc>
        <w:tc>
          <w:tcPr/>
          <w:p>
            <w:pPr>
              <w:pStyle w:val="Compact"/>
            </w:pPr>
            <w:r>
              <w:t xml:space="preserve">—</w:t>
            </w:r>
          </w:p>
        </w:tc>
        <w:tc>
          <w:tcPr/>
          <w:p>
            <w:pPr>
              <w:pStyle w:val="Compact"/>
            </w:pPr>
            <w:r>
              <w:t xml:space="preserve">&lt; .001</w:t>
            </w:r>
          </w:p>
        </w:tc>
      </w:tr>
      <w:tr>
        <w:tc>
          <w:tcPr/>
          <w:p>
            <w:pPr>
              <w:pStyle w:val="Compact"/>
            </w:pPr>
            <w:r>
              <w:t xml:space="preserve">WEMWBS (14–70)</w:t>
            </w:r>
          </w:p>
        </w:tc>
        <w:tc>
          <w:tcPr/>
          <w:p>
            <w:pPr>
              <w:pStyle w:val="Compact"/>
            </w:pPr>
            <w:r>
              <w:t xml:space="preserve">51.8 (9.6)</w:t>
            </w:r>
          </w:p>
        </w:tc>
        <w:tc>
          <w:tcPr/>
          <w:p>
            <w:pPr>
              <w:pStyle w:val="Compact"/>
            </w:pPr>
            <w:r>
              <w:t xml:space="preserve">36.8</w:t>
            </w:r>
          </w:p>
        </w:tc>
        <w:tc>
          <w:tcPr/>
          <w:p>
            <w:pPr>
              <w:pStyle w:val="Compact"/>
            </w:pPr>
            <w:r>
              <w:t xml:space="preserve">52.1</w:t>
            </w:r>
          </w:p>
        </w:tc>
        <w:tc>
          <w:tcPr/>
          <w:p>
            <w:pPr>
              <w:pStyle w:val="Compact"/>
            </w:pPr>
            <w:r>
              <w:t xml:space="preserve">−1.63</w:t>
            </w:r>
          </w:p>
        </w:tc>
        <w:tc>
          <w:tcPr/>
          <w:p>
            <w:pPr>
              <w:pStyle w:val="Compact"/>
            </w:pPr>
            <w:r>
              <w:t xml:space="preserve">&lt; .001</w:t>
            </w:r>
          </w:p>
        </w:tc>
      </w:tr>
    </w:tbl>
    <w:p>
      <w:pPr>
        <w:pStyle w:val="BodyText"/>
      </w:pPr>
      <w:r>
        <w:t xml:space="preserve">All differences represent large effects by conventional benchmarks (Cohen, 1988) [11]. Self-reported emotional problems showed the largest case-control separation (</w:t>
      </w:r>
      <w:r>
        <w:rPr>
          <w:i/>
          <w:iCs/>
        </w:rPr>
        <w:t xml:space="preserve">d</w:t>
      </w:r>
      <w:r>
        <w:t xml:space="preserve"> </w:t>
      </w:r>
      <w:r>
        <w:t xml:space="preserve">= 1.92), followed by parent-rated emotional problems (</w:t>
      </w:r>
      <w:r>
        <w:rPr>
          <w:i/>
          <w:iCs/>
        </w:rPr>
        <w:t xml:space="preserve">d</w:t>
      </w:r>
      <w:r>
        <w:t xml:space="preserve"> </w:t>
      </w:r>
      <w:r>
        <w:t xml:space="preserve">= 1.58) and low wellbeing (</w:t>
      </w:r>
      <w:r>
        <w:rPr>
          <w:i/>
          <w:iCs/>
        </w:rPr>
        <w:t xml:space="preserve">d</w:t>
      </w:r>
      <w:r>
        <w:t xml:space="preserve"> </w:t>
      </w:r>
      <w:r>
        <w:t xml:space="preserve">= −1.63). Over half of social phobia cases (52.0%) reported any bullying exposure, compared with 37.5% of controls.</w:t>
      </w:r>
    </w:p>
    <w:bookmarkEnd w:id="16"/>
    <w:bookmarkStart w:id="17" w:name="e.-missing-data"/>
    <w:p>
      <w:pPr>
        <w:pStyle w:val="Heading2"/>
      </w:pPr>
      <w:r>
        <w:rPr>
          <w:rStyle w:val="SectionNumber"/>
        </w:rPr>
        <w:t xml:space="preserve">4.5</w:t>
      </w:r>
      <w:r>
        <w:tab/>
      </w:r>
      <w:r>
        <w:t xml:space="preserve">E. Missing Data</w:t>
      </w:r>
    </w:p>
    <w:p>
      <w:pPr>
        <w:pStyle w:val="FirstParagraph"/>
      </w:pPr>
      <w:r>
        <w:t xml:space="preserve">SDQ self-report subscales had 15.1% missing values, parent-report subscales 8.4%, and WEMWBS 16.6%. All were imputed using Multiple Imputation by Chained Equations (MICE; IterativeImputer, 10 iterations, BayesianRidge estimator) with per-column bounds derived from validated scale ranges. Binary and categorical features were imputed using mode imputation.</w:t>
      </w:r>
    </w:p>
    <w:p>
      <w:r>
        <w:pict>
          <v:rect style="width:0;height:1.5pt" o:hralign="center" o:hrstd="t" o:hr="t"/>
        </w:pict>
      </w:r>
    </w:p>
    <w:bookmarkEnd w:id="17"/>
    <w:bookmarkEnd w:id="18"/>
    <w:bookmarkStart w:id="27" w:name="iv.-methods"/>
    <w:p>
      <w:pPr>
        <w:pStyle w:val="Heading1"/>
      </w:pPr>
      <w:r>
        <w:rPr>
          <w:rStyle w:val="SectionNumber"/>
        </w:rPr>
        <w:t xml:space="preserve">5</w:t>
      </w:r>
      <w:r>
        <w:tab/>
      </w:r>
      <w:r>
        <w:t xml:space="preserve">IV. Methods</w:t>
      </w:r>
    </w:p>
    <w:bookmarkStart w:id="19" w:name="a.-feature-engineering"/>
    <w:p>
      <w:pPr>
        <w:pStyle w:val="Heading2"/>
      </w:pPr>
      <w:r>
        <w:rPr>
          <w:rStyle w:val="SectionNumber"/>
        </w:rPr>
        <w:t xml:space="preserve">5.1</w:t>
      </w:r>
      <w:r>
        <w:tab/>
      </w:r>
      <w:r>
        <w:t xml:space="preserve">A. Feature Engineering</w:t>
      </w:r>
    </w:p>
    <w:p>
      <w:pPr>
        <w:pStyle w:val="FirstParagraph"/>
      </w:pPr>
      <w:r>
        <w:t xml:space="preserve">Twenty-two features were extracted and engineered from UKDA-8467. No personally identifiable information was retained. Key engineered features include internalising composites (</w:t>
      </w:r>
      <w:r>
        <w:rPr>
          <w:rStyle w:val="VerbatimChar"/>
        </w:rPr>
        <w:t xml:space="preserve">sdq_internalising</w:t>
      </w:r>
      <w:r>
        <w:t xml:space="preserve"> </w:t>
      </w:r>
      <w:r>
        <w:t xml:space="preserve">= sdq_emotional + sdq_peer;</w:t>
      </w:r>
      <w:r>
        <w:t xml:space="preserve"> </w:t>
      </w:r>
      <w:r>
        <w:rPr>
          <w:rStyle w:val="VerbatimChar"/>
        </w:rPr>
        <w:t xml:space="preserve">psdq_internalising</w:t>
      </w:r>
      <w:r>
        <w:t xml:space="preserve"> </w:t>
      </w:r>
      <w:r>
        <w:t xml:space="preserve">= psdq_emotional + psdq_peer), a parent-self discrepancy score (</w:t>
      </w:r>
      <w:r>
        <w:rPr>
          <w:rStyle w:val="VerbatimChar"/>
        </w:rPr>
        <w:t xml:space="preserve">psdq_total</w:t>
      </w:r>
      <w:r>
        <w:t xml:space="preserve"> </w:t>
      </w:r>
      <w:r>
        <w:t xml:space="preserve">−</w:t>
      </w:r>
      <w:r>
        <w:t xml:space="preserve"> </w:t>
      </w:r>
      <w:r>
        <w:rPr>
          <w:rStyle w:val="VerbatimChar"/>
        </w:rPr>
        <w:t xml:space="preserve">sdq_total</w:t>
      </w:r>
      <w:r>
        <w:t xml:space="preserve">), a binary low-wellbeing flag (WEMWBS &lt; 40), and a combined bullying indicator (school or cyber).</w:t>
      </w:r>
    </w:p>
    <w:bookmarkEnd w:id="19"/>
    <w:bookmarkStart w:id="20" w:name="b.-preprocessing-pipeline"/>
    <w:p>
      <w:pPr>
        <w:pStyle w:val="Heading2"/>
      </w:pPr>
      <w:r>
        <w:rPr>
          <w:rStyle w:val="SectionNumber"/>
        </w:rPr>
        <w:t xml:space="preserve">5.2</w:t>
      </w:r>
      <w:r>
        <w:tab/>
      </w:r>
      <w:r>
        <w:t xml:space="preserve">B. Preprocessing Pipeline</w:t>
      </w:r>
    </w:p>
    <w:p>
      <w:pPr>
        <w:pStyle w:val="FirstParagraph"/>
      </w:pPr>
      <w:r>
        <w:t xml:space="preserve">Nine preprocessing steps were applied sequentially, fitted only on training data and applied to validation and test sets without refitting: (1) conservative minimum imputation; (2) zero imputation for quality-control columns; (3) MICE for SDQ and WEMWBS; (4) KNN imputation for continuous demographics (k=5); (5) median imputation for remaining continuous gaps; (6) mode imputation for binary/categorical gaps; (7) derived feature recomputation post-imputation; (8) ordinal encoding; and (9) standard scaling (μ=0, σ=1).</w:t>
      </w:r>
    </w:p>
    <w:bookmarkEnd w:id="20"/>
    <w:bookmarkStart w:id="21" w:name="c.-class-imbalance"/>
    <w:p>
      <w:pPr>
        <w:pStyle w:val="Heading2"/>
      </w:pPr>
      <w:r>
        <w:rPr>
          <w:rStyle w:val="SectionNumber"/>
        </w:rPr>
        <w:t xml:space="preserve">5.3</w:t>
      </w:r>
      <w:r>
        <w:tab/>
      </w:r>
      <w:r>
        <w:t xml:space="preserve">C. Class Imbalance</w:t>
      </w:r>
    </w:p>
    <w:p>
      <w:pPr>
        <w:pStyle w:val="FirstParagraph"/>
      </w:pPr>
      <w:r>
        <w:t xml:space="preserve">Two complementary strategies addressed the 1:49 positive-to-negative ratio. SMOTE (Synthetic Minority Oversampling Technique;</w:t>
      </w:r>
      <w:r>
        <w:t xml:space="preserve"> </w:t>
      </w:r>
      <w:r>
        <w:rPr>
          <w:rStyle w:val="VerbatimChar"/>
        </w:rPr>
        <w:t xml:space="preserve">sampling_strategy=0.30</w:t>
      </w:r>
      <w:r>
        <w:t xml:space="preserve">,</w:t>
      </w:r>
      <w:r>
        <w:t xml:space="preserve"> </w:t>
      </w:r>
      <w:r>
        <w:rPr>
          <w:rStyle w:val="VerbatimChar"/>
        </w:rPr>
        <w:t xml:space="preserve">k_neighbors=5</w:t>
      </w:r>
      <w:r>
        <w:t xml:space="preserve">) [12] was applied to training splits only, expanding training data from 2,399 to approximately 3,056 rows.</w:t>
      </w:r>
      <w:r>
        <w:t xml:space="preserve"> </w:t>
      </w:r>
      <w:r>
        <w:rPr>
          <w:rStyle w:val="VerbatimChar"/>
        </w:rPr>
        <w:t xml:space="preserve">class_weight='balanced'</w:t>
      </w:r>
      <w:r>
        <w:t xml:space="preserve"> </w:t>
      </w:r>
      <w:r>
        <w:t xml:space="preserve">was applied to the LogisticRegression loss function, weighting the minority class by its inverse frequency.</w:t>
      </w:r>
    </w:p>
    <w:bookmarkEnd w:id="21"/>
    <w:bookmarkStart w:id="22" w:name="d.-model-selection-framework"/>
    <w:p>
      <w:pPr>
        <w:pStyle w:val="Heading2"/>
      </w:pPr>
      <w:r>
        <w:rPr>
          <w:rStyle w:val="SectionNumber"/>
        </w:rPr>
        <w:t xml:space="preserve">5.4</w:t>
      </w:r>
      <w:r>
        <w:tab/>
      </w:r>
      <w:r>
        <w:t xml:space="preserve">D. Model Selection Framework</w:t>
      </w:r>
    </w:p>
    <w:p>
      <w:pPr>
        <w:pStyle w:val="FirstParagraph"/>
      </w:pPr>
      <w:r>
        <w:t xml:space="preserve">A nested cross-validation framework was used to select and evaluate models without information leakage between hyperparameter tuning and performance estimation:</w:t>
      </w:r>
    </w:p>
    <w:p>
      <w:pPr>
        <w:pStyle w:val="Compact"/>
        <w:numPr>
          <w:ilvl w:val="0"/>
          <w:numId w:val="1001"/>
        </w:numPr>
      </w:pPr>
      <w:r>
        <w:rPr>
          <w:b/>
          <w:bCs/>
        </w:rPr>
        <w:t xml:space="preserve">Outer loop</w:t>
      </w:r>
      <w:r>
        <w:t xml:space="preserve">: 5-fold StratifiedGroupKFold, grouped by school PSU cluster. Each fold holds out an entire set of schools, preventing students from the same school appearing in both training and test sets.</w:t>
      </w:r>
    </w:p>
    <w:p>
      <w:pPr>
        <w:pStyle w:val="Compact"/>
        <w:numPr>
          <w:ilvl w:val="0"/>
          <w:numId w:val="1001"/>
        </w:numPr>
      </w:pPr>
      <w:r>
        <w:rPr>
          <w:b/>
          <w:bCs/>
        </w:rPr>
        <w:t xml:space="preserve">Inner loop</w:t>
      </w:r>
      <w:r>
        <w:t xml:space="preserve">: 3-fold StratifiedGroupKFold within each outer training set, used for Bayesian hyperparameter optimisation (Optuna, 50 trials, TPE sampler) [13].</w:t>
      </w:r>
    </w:p>
    <w:p>
      <w:pPr>
        <w:pStyle w:val="Compact"/>
        <w:numPr>
          <w:ilvl w:val="0"/>
          <w:numId w:val="1001"/>
        </w:numPr>
      </w:pPr>
      <w:r>
        <w:rPr>
          <w:b/>
          <w:bCs/>
        </w:rPr>
        <w:t xml:space="preserve">Primary metric</w:t>
      </w:r>
      <w:r>
        <w:t xml:space="preserve">: a composite selection score (0.5 × Recall + 0.3 × PR-AUC + 0.2 × AUC-ROC), weighting Recall highest to minimise missed cases.</w:t>
      </w:r>
    </w:p>
    <w:p>
      <w:pPr>
        <w:pStyle w:val="FirstParagraph"/>
      </w:pPr>
      <w:r>
        <w:t xml:space="preserve">Four candidate model families were evaluated: Logistic Regression, Random Forest, Support Vector Machine (with CalibratedClassifierCV), and Gradient Boosting. Logistic Regression was selected on the basis of highest cross-validated recall (0.920) and lowest PR-AUC standard deviation (±0.044), indicating greater consistency across folds.</w:t>
      </w:r>
    </w:p>
    <w:bookmarkEnd w:id="22"/>
    <w:bookmarkStart w:id="23" w:name="e.-probability-calibration"/>
    <w:p>
      <w:pPr>
        <w:pStyle w:val="Heading2"/>
      </w:pPr>
      <w:r>
        <w:rPr>
          <w:rStyle w:val="SectionNumber"/>
        </w:rPr>
        <w:t xml:space="preserve">5.5</w:t>
      </w:r>
      <w:r>
        <w:tab/>
      </w:r>
      <w:r>
        <w:t xml:space="preserve">E. Probability Calibration</w:t>
      </w:r>
    </w:p>
    <w:p>
      <w:pPr>
        <w:pStyle w:val="FirstParagraph"/>
      </w:pPr>
      <w:r>
        <w:t xml:space="preserve">The selected Logistic Regression model (v4) had an Expected Calibration Error (ECE) of 0.243 — substantially above the ≤ 0.05 deployment gate. This distortion is a known consequence of</w:t>
      </w:r>
      <w:r>
        <w:t xml:space="preserve"> </w:t>
      </w:r>
      <w:r>
        <w:rPr>
          <w:rStyle w:val="VerbatimChar"/>
        </w:rPr>
        <w:t xml:space="preserve">class_weight='balanced'</w:t>
      </w:r>
      <w:r>
        <w:t xml:space="preserve">, which inflates predicted probabilities away from the true base rate [14]. Platt Scaling [15] was applied post-training to produce model v5:</w:t>
      </w:r>
    </w:p>
    <w:p>
      <w:pPr>
        <w:pStyle w:val="Compact"/>
        <w:numPr>
          <w:ilvl w:val="0"/>
          <w:numId w:val="1002"/>
        </w:numPr>
      </w:pPr>
      <w:r>
        <w:t xml:space="preserve">The cross-validation pool (n = 2,998) was split 80/20 (train: n = 2,399; calibration: n = 599).</w:t>
      </w:r>
    </w:p>
    <w:p>
      <w:pPr>
        <w:pStyle w:val="Compact"/>
        <w:numPr>
          <w:ilvl w:val="0"/>
          <w:numId w:val="1002"/>
        </w:numPr>
      </w:pPr>
      <w:r>
        <w:t xml:space="preserve">A fresh Logistic Regression (same hyperparameters as v4) was trained on the 80% with SMOTE.</w:t>
      </w:r>
    </w:p>
    <w:p>
      <w:pPr>
        <w:pStyle w:val="Compact"/>
        <w:numPr>
          <w:ilvl w:val="0"/>
          <w:numId w:val="1002"/>
        </w:numPr>
      </w:pPr>
      <w:r>
        <w:t xml:space="preserve">A custom</w:t>
      </w:r>
      <w:r>
        <w:t xml:space="preserve"> </w:t>
      </w:r>
      <w:r>
        <w:rPr>
          <w:rStyle w:val="VerbatimChar"/>
        </w:rPr>
        <w:t xml:space="preserve">PlattCalibratedModel</w:t>
      </w:r>
      <w:r>
        <w:t xml:space="preserve"> </w:t>
      </w:r>
      <w:r>
        <w:t xml:space="preserve">— a LogisticRegression fitted on the base model’s</w:t>
      </w:r>
      <w:r>
        <w:t xml:space="preserve"> </w:t>
      </w:r>
      <w:r>
        <w:rPr>
          <w:rStyle w:val="VerbatimChar"/>
        </w:rPr>
        <w:t xml:space="preserve">decision_function</w:t>
      </w:r>
      <w:r>
        <w:t xml:space="preserve"> </w:t>
      </w:r>
      <w:r>
        <w:t xml:space="preserve">scores versus true labels — was fitted on the 20% calibration set.</w:t>
      </w:r>
    </w:p>
    <w:p>
      <w:pPr>
        <w:pStyle w:val="Compact"/>
        <w:numPr>
          <w:ilvl w:val="0"/>
          <w:numId w:val="1002"/>
        </w:numPr>
      </w:pPr>
      <w:r>
        <w:t xml:space="preserve">The classification threshold (0.034) was optimised on the calibration set to maximise F1 subject to Recall ≥ 0.85.</w:t>
      </w:r>
    </w:p>
    <w:bookmarkEnd w:id="23"/>
    <w:bookmarkStart w:id="24" w:name="f.-explainability"/>
    <w:p>
      <w:pPr>
        <w:pStyle w:val="Heading2"/>
      </w:pPr>
      <w:r>
        <w:rPr>
          <w:rStyle w:val="SectionNumber"/>
        </w:rPr>
        <w:t xml:space="preserve">5.6</w:t>
      </w:r>
      <w:r>
        <w:tab/>
      </w:r>
      <w:r>
        <w:t xml:space="preserve">F. Explainability</w:t>
      </w:r>
    </w:p>
    <w:p>
      <w:pPr>
        <w:pStyle w:val="FirstParagraph"/>
      </w:pPr>
      <w:r>
        <w:t xml:space="preserve">SHAP values were computed using</w:t>
      </w:r>
      <w:r>
        <w:t xml:space="preserve"> </w:t>
      </w:r>
      <w:r>
        <w:rPr>
          <w:rStyle w:val="VerbatimChar"/>
        </w:rPr>
        <w:t xml:space="preserve">shap.LinearExplainer</w:t>
      </w:r>
      <w:r>
        <w:t xml:space="preserve"> </w:t>
      </w:r>
      <w:r>
        <w:t xml:space="preserve">on all 3,749 participants with a 200-sample background reference set [16]. Global feature importance was derived as mean absolute SHAP value per feature. A depth-4 surrogate decision tree was fitted to the model’s binary predictions to produce a practitioner-accessible rule set. Local (per-student) explanations were generated via</w:t>
      </w:r>
      <w:r>
        <w:t xml:space="preserve"> </w:t>
      </w:r>
      <w:r>
        <w:rPr>
          <w:rStyle w:val="VerbatimChar"/>
        </w:rPr>
        <w:t xml:space="preserve">explain_instance()</w:t>
      </w:r>
      <w:r>
        <w:t xml:space="preserve">, returning a calibrated risk probability, a risk band, and the top contributing features with direction and strength labels.</w:t>
      </w:r>
    </w:p>
    <w:bookmarkEnd w:id="24"/>
    <w:bookmarkStart w:id="25" w:name="g.-fairness-audit"/>
    <w:p>
      <w:pPr>
        <w:pStyle w:val="Heading2"/>
      </w:pPr>
      <w:r>
        <w:rPr>
          <w:rStyle w:val="SectionNumber"/>
        </w:rPr>
        <w:t xml:space="preserve">5.7</w:t>
      </w:r>
      <w:r>
        <w:tab/>
      </w:r>
      <w:r>
        <w:t xml:space="preserve">G. Fairness Audit</w:t>
      </w:r>
    </w:p>
    <w:p>
      <w:pPr>
        <w:pStyle w:val="FirstParagraph"/>
      </w:pPr>
      <w:r>
        <w:t xml:space="preserve">Recall parity was assessed across four demographic dimensions: gender (male, female), age group (11–13, 14–16, 17–18), SEN status (SEN, no SEN), and deprivation quintile (Q1–Q2, Q3, Q4–Q5). A parity gap exceeding 0.10 was flagged for clinical review.</w:t>
      </w:r>
    </w:p>
    <w:bookmarkEnd w:id="25"/>
    <w:bookmarkStart w:id="26" w:name="h.-model-hyperparameters"/>
    <w:p>
      <w:pPr>
        <w:pStyle w:val="Heading2"/>
      </w:pPr>
      <w:r>
        <w:rPr>
          <w:rStyle w:val="SectionNumber"/>
        </w:rPr>
        <w:t xml:space="preserve">5.8</w:t>
      </w:r>
      <w:r>
        <w:tab/>
      </w:r>
      <w:r>
        <w:t xml:space="preserve">H. Model Hyperparameters</w:t>
      </w:r>
    </w:p>
    <w:p>
      <w:pPr>
        <w:pStyle w:val="FirstParagraph"/>
      </w:pPr>
      <w:r>
        <w:rPr>
          <w:b/>
          <w:bCs/>
        </w:rPr>
        <w:t xml:space="preserve">Table III. Final Model Hyperparameters (v5)</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Parameter</w:t>
            </w:r>
          </w:p>
        </w:tc>
        <w:tc>
          <w:tcPr/>
          <w:p>
            <w:pPr>
              <w:pStyle w:val="Compact"/>
            </w:pPr>
            <w:r>
              <w:t xml:space="preserve">Value</w:t>
            </w:r>
          </w:p>
        </w:tc>
      </w:tr>
      <w:tr>
        <w:tc>
          <w:tcPr/>
          <w:p>
            <w:pPr>
              <w:pStyle w:val="Compact"/>
            </w:pPr>
            <w:r>
              <w:t xml:space="preserve">Algorithm</w:t>
            </w:r>
          </w:p>
        </w:tc>
        <w:tc>
          <w:tcPr/>
          <w:p>
            <w:pPr>
              <w:pStyle w:val="Compact"/>
            </w:pPr>
            <w:r>
              <w:t xml:space="preserve">LogisticRegression + Platt Scaling</w:t>
            </w:r>
          </w:p>
        </w:tc>
      </w:tr>
      <w:tr>
        <w:tc>
          <w:tcPr/>
          <w:p>
            <w:pPr>
              <w:pStyle w:val="Compact"/>
            </w:pPr>
            <w:r>
              <w:t xml:space="preserve">Regularisation C</w:t>
            </w:r>
          </w:p>
        </w:tc>
        <w:tc>
          <w:tcPr/>
          <w:p>
            <w:pPr>
              <w:pStyle w:val="Compact"/>
            </w:pPr>
            <w:r>
              <w:t xml:space="preserve">0.001005 (Optuna TPE, 50 trials)</w:t>
            </w:r>
          </w:p>
        </w:tc>
      </w:tr>
      <w:tr>
        <w:tc>
          <w:tcPr/>
          <w:p>
            <w:pPr>
              <w:pStyle w:val="Compact"/>
            </w:pPr>
            <w:r>
              <w:t xml:space="preserve">Penalty</w:t>
            </w:r>
          </w:p>
        </w:tc>
        <w:tc>
          <w:tcPr/>
          <w:p>
            <w:pPr>
              <w:pStyle w:val="Compact"/>
            </w:pPr>
            <w:r>
              <w:t xml:space="preserve">L2 (lbfgs solver)</w:t>
            </w:r>
          </w:p>
        </w:tc>
      </w:tr>
      <w:tr>
        <w:tc>
          <w:tcPr/>
          <w:p>
            <w:pPr>
              <w:pStyle w:val="Compact"/>
            </w:pPr>
            <w:r>
              <w:t xml:space="preserve">class_weight</w:t>
            </w:r>
          </w:p>
        </w:tc>
        <w:tc>
          <w:tcPr/>
          <w:p>
            <w:pPr>
              <w:pStyle w:val="Compact"/>
            </w:pPr>
            <w:r>
              <w:t xml:space="preserve">balanced</w:t>
            </w:r>
          </w:p>
        </w:tc>
      </w:tr>
      <w:tr>
        <w:tc>
          <w:tcPr/>
          <w:p>
            <w:pPr>
              <w:pStyle w:val="Compact"/>
            </w:pPr>
            <w:r>
              <w:t xml:space="preserve">SMOTE sampling_strategy</w:t>
            </w:r>
          </w:p>
        </w:tc>
        <w:tc>
          <w:tcPr/>
          <w:p>
            <w:pPr>
              <w:pStyle w:val="Compact"/>
            </w:pPr>
            <w:r>
              <w:t xml:space="preserve">0.30</w:t>
            </w:r>
          </w:p>
        </w:tc>
      </w:tr>
      <w:tr>
        <w:tc>
          <w:tcPr/>
          <w:p>
            <w:pPr>
              <w:pStyle w:val="Compact"/>
            </w:pPr>
            <w:r>
              <w:t xml:space="preserve">SMOTE k_neighbors</w:t>
            </w:r>
          </w:p>
        </w:tc>
        <w:tc>
          <w:tcPr/>
          <w:p>
            <w:pPr>
              <w:pStyle w:val="Compact"/>
            </w:pPr>
            <w:r>
              <w:t xml:space="preserve">5</w:t>
            </w:r>
          </w:p>
        </w:tc>
      </w:tr>
      <w:tr>
        <w:tc>
          <w:tcPr/>
          <w:p>
            <w:pPr>
              <w:pStyle w:val="Compact"/>
            </w:pPr>
            <w:r>
              <w:t xml:space="preserve">Calibration method</w:t>
            </w:r>
          </w:p>
        </w:tc>
        <w:tc>
          <w:tcPr/>
          <w:p>
            <w:pPr>
              <w:pStyle w:val="Compact"/>
            </w:pPr>
            <w:r>
              <w:t xml:space="preserve">Platt Scaling (sigmoid)</w:t>
            </w:r>
          </w:p>
        </w:tc>
      </w:tr>
      <w:tr>
        <w:tc>
          <w:tcPr/>
          <w:p>
            <w:pPr>
              <w:pStyle w:val="Compact"/>
            </w:pPr>
            <w:r>
              <w:t xml:space="preserve">Calibration set</w:t>
            </w:r>
          </w:p>
        </w:tc>
        <w:tc>
          <w:tcPr/>
          <w:p>
            <w:pPr>
              <w:pStyle w:val="Compact"/>
            </w:pPr>
            <w:r>
              <w:t xml:space="preserve">20% CV pool holdout (n=599, 12 positives)</w:t>
            </w:r>
          </w:p>
        </w:tc>
      </w:tr>
      <w:tr>
        <w:tc>
          <w:tcPr/>
          <w:p>
            <w:pPr>
              <w:pStyle w:val="Compact"/>
            </w:pPr>
            <w:r>
              <w:t xml:space="preserve">Classification threshold</w:t>
            </w:r>
          </w:p>
        </w:tc>
        <w:tc>
          <w:tcPr/>
          <w:p>
            <w:pPr>
              <w:pStyle w:val="Compact"/>
            </w:pPr>
            <w:r>
              <w:t xml:space="preserve">0.034 (calibration-set optimised)</w:t>
            </w:r>
          </w:p>
        </w:tc>
      </w:tr>
    </w:tbl>
    <w:p>
      <w:r>
        <w:pict>
          <v:rect style="width:0;height:1.5pt" o:hralign="center" o:hrstd="t" o:hr="t"/>
        </w:pict>
      </w:r>
    </w:p>
    <w:bookmarkEnd w:id="26"/>
    <w:bookmarkEnd w:id="27"/>
    <w:bookmarkStart w:id="33" w:name="v.-results"/>
    <w:p>
      <w:pPr>
        <w:pStyle w:val="Heading1"/>
      </w:pPr>
      <w:r>
        <w:rPr>
          <w:rStyle w:val="SectionNumber"/>
        </w:rPr>
        <w:t xml:space="preserve">6</w:t>
      </w:r>
      <w:r>
        <w:tab/>
      </w:r>
      <w:r>
        <w:t xml:space="preserve">V. Results</w:t>
      </w:r>
    </w:p>
    <w:bookmarkStart w:id="28" w:name="a.-cross-validation-performance"/>
    <w:p>
      <w:pPr>
        <w:pStyle w:val="Heading2"/>
      </w:pPr>
      <w:r>
        <w:rPr>
          <w:rStyle w:val="SectionNumber"/>
        </w:rPr>
        <w:t xml:space="preserve">6.1</w:t>
      </w:r>
      <w:r>
        <w:tab/>
      </w:r>
      <w:r>
        <w:t xml:space="preserve">A. Cross-Validation Performance</w:t>
      </w:r>
    </w:p>
    <w:p>
      <w:pPr>
        <w:pStyle w:val="FirstParagraph"/>
      </w:pPr>
      <w:r>
        <w:rPr>
          <w:b/>
          <w:bCs/>
        </w:rPr>
        <w:t xml:space="preserve">Table IV. Cross-Validation Results by Model Version (5-fold outer)</w:t>
      </w:r>
    </w:p>
    <w:tbl>
      <w:tblPr>
        <w:tblStyle w:val="Table"/>
        <w:tblW w:type="pct" w:w="5000"/>
        <w:tblLayout w:type="fixed"/>
        <w:tblLook w:firstRow="1" w:lastRow="0" w:firstColumn="0" w:lastColumn="0" w:noHBand="0" w:noVBand="0" w:val="0020"/>
      </w:tblPr>
      <w:tblGrid>
        <w:gridCol w:w="1320"/>
        <w:gridCol w:w="1613"/>
        <w:gridCol w:w="1613"/>
        <w:gridCol w:w="1613"/>
        <w:gridCol w:w="1760"/>
      </w:tblGrid>
      <w:tr>
        <w:trPr>
          <w:tblHeader w:val="on"/>
        </w:trPr>
        <w:tc>
          <w:tcPr/>
          <w:p>
            <w:pPr>
              <w:pStyle w:val="Compact"/>
            </w:pPr>
            <w:r>
              <w:t xml:space="preserve">Version</w:t>
            </w:r>
          </w:p>
        </w:tc>
        <w:tc>
          <w:tcPr/>
          <w:p>
            <w:pPr>
              <w:pStyle w:val="Compact"/>
            </w:pPr>
            <w:r>
              <w:t xml:space="preserve">Algorithm</w:t>
            </w:r>
          </w:p>
        </w:tc>
        <w:tc>
          <w:tcPr/>
          <w:p>
            <w:pPr>
              <w:pStyle w:val="Compact"/>
            </w:pPr>
            <w:r>
              <w:t xml:space="preserve">CV Recall</w:t>
            </w:r>
          </w:p>
        </w:tc>
        <w:tc>
          <w:tcPr/>
          <w:p>
            <w:pPr>
              <w:pStyle w:val="Compact"/>
            </w:pPr>
            <w:r>
              <w:t xml:space="preserve">CV PR-AUC</w:t>
            </w:r>
          </w:p>
        </w:tc>
        <w:tc>
          <w:tcPr/>
          <w:p>
            <w:pPr>
              <w:pStyle w:val="Compact"/>
            </w:pPr>
            <w:r>
              <w:t xml:space="preserve">CV AUC-ROC</w:t>
            </w:r>
          </w:p>
        </w:tc>
      </w:tr>
      <w:tr>
        <w:tc>
          <w:tcPr/>
          <w:p>
            <w:pPr>
              <w:pStyle w:val="Compact"/>
            </w:pPr>
            <w:r>
              <w:t xml:space="preserve">v1</w:t>
            </w:r>
          </w:p>
        </w:tc>
        <w:tc>
          <w:tcPr/>
          <w:p>
            <w:pPr>
              <w:pStyle w:val="Compact"/>
            </w:pPr>
            <w:r>
              <w:t xml:space="preserve">LogisticRegression</w:t>
            </w:r>
          </w:p>
        </w:tc>
        <w:tc>
          <w:tcPr/>
          <w:p>
            <w:pPr>
              <w:pStyle w:val="Compact"/>
            </w:pPr>
            <w:r>
              <w:t xml:space="preserve">0.871 ± 0.018</w:t>
            </w:r>
          </w:p>
        </w:tc>
        <w:tc>
          <w:tcPr/>
          <w:p>
            <w:pPr>
              <w:pStyle w:val="Compact"/>
            </w:pPr>
            <w:r>
              <w:t xml:space="preserve">0.300 ± 0.121</w:t>
            </w:r>
          </w:p>
        </w:tc>
        <w:tc>
          <w:tcPr/>
          <w:p>
            <w:pPr>
              <w:pStyle w:val="Compact"/>
            </w:pPr>
            <w:r>
              <w:t xml:space="preserve">0.926 ± 0.020</w:t>
            </w:r>
          </w:p>
        </w:tc>
      </w:tr>
      <w:tr>
        <w:tc>
          <w:tcPr/>
          <w:p>
            <w:pPr>
              <w:pStyle w:val="Compact"/>
            </w:pPr>
            <w:r>
              <w:t xml:space="preserve">v2</w:t>
            </w:r>
          </w:p>
        </w:tc>
        <w:tc>
          <w:tcPr/>
          <w:p>
            <w:pPr>
              <w:pStyle w:val="Compact"/>
            </w:pPr>
            <w:r>
              <w:t xml:space="preserve">RandomForest</w:t>
            </w:r>
          </w:p>
        </w:tc>
        <w:tc>
          <w:tcPr/>
          <w:p>
            <w:pPr>
              <w:pStyle w:val="Compact"/>
            </w:pPr>
            <w:r>
              <w:t xml:space="preserve">0.891 ± 0.061</w:t>
            </w:r>
          </w:p>
        </w:tc>
        <w:tc>
          <w:tcPr/>
          <w:p>
            <w:pPr>
              <w:pStyle w:val="Compact"/>
            </w:pPr>
            <w:r>
              <w:t xml:space="preserve">0.286 ± 0.154</w:t>
            </w:r>
          </w:p>
        </w:tc>
        <w:tc>
          <w:tcPr/>
          <w:p>
            <w:pPr>
              <w:pStyle w:val="Compact"/>
            </w:pPr>
            <w:r>
              <w:t xml:space="preserve">0.913 ± 0.019</w:t>
            </w:r>
          </w:p>
        </w:tc>
      </w:tr>
      <w:tr>
        <w:tc>
          <w:tcPr/>
          <w:p>
            <w:pPr>
              <w:pStyle w:val="Compact"/>
            </w:pPr>
            <w:r>
              <w:t xml:space="preserve">v3</w:t>
            </w:r>
          </w:p>
        </w:tc>
        <w:tc>
          <w:tcPr/>
          <w:p>
            <w:pPr>
              <w:pStyle w:val="Compact"/>
            </w:pPr>
            <w:r>
              <w:t xml:space="preserve">LogisticRegression</w:t>
            </w:r>
          </w:p>
        </w:tc>
        <w:tc>
          <w:tcPr/>
          <w:p>
            <w:pPr>
              <w:pStyle w:val="Compact"/>
            </w:pPr>
            <w:r>
              <w:t xml:space="preserve">0.871 ± 0.018</w:t>
            </w:r>
          </w:p>
        </w:tc>
        <w:tc>
          <w:tcPr/>
          <w:p>
            <w:pPr>
              <w:pStyle w:val="Compact"/>
            </w:pPr>
            <w:r>
              <w:t xml:space="preserve">0.300 ± 0.121</w:t>
            </w:r>
          </w:p>
        </w:tc>
        <w:tc>
          <w:tcPr/>
          <w:p>
            <w:pPr>
              <w:pStyle w:val="Compact"/>
            </w:pPr>
            <w:r>
              <w:t xml:space="preserve">0.926 ± 0.020</w:t>
            </w:r>
          </w:p>
        </w:tc>
      </w:tr>
      <w:tr>
        <w:tc>
          <w:tcPr/>
          <w:p>
            <w:pPr>
              <w:pStyle w:val="Compact"/>
            </w:pPr>
            <w:r>
              <w:rPr>
                <w:b/>
                <w:bCs/>
              </w:rPr>
              <w:t xml:space="preserve">v4 (selected)</w:t>
            </w:r>
          </w:p>
        </w:tc>
        <w:tc>
          <w:tcPr/>
          <w:p>
            <w:pPr>
              <w:pStyle w:val="Compact"/>
            </w:pPr>
            <w:r>
              <w:rPr>
                <w:b/>
                <w:bCs/>
              </w:rPr>
              <w:t xml:space="preserve">LogisticRegression</w:t>
            </w:r>
          </w:p>
        </w:tc>
        <w:tc>
          <w:tcPr/>
          <w:p>
            <w:pPr>
              <w:pStyle w:val="Compact"/>
            </w:pPr>
            <w:r>
              <w:rPr>
                <w:b/>
                <w:bCs/>
              </w:rPr>
              <w:t xml:space="preserve">0.920 ± 0.046</w:t>
            </w:r>
          </w:p>
        </w:tc>
        <w:tc>
          <w:tcPr/>
          <w:p>
            <w:pPr>
              <w:pStyle w:val="Compact"/>
            </w:pPr>
            <w:r>
              <w:rPr>
                <w:b/>
                <w:bCs/>
              </w:rPr>
              <w:t xml:space="preserve">0.275 ± 0.044</w:t>
            </w:r>
          </w:p>
        </w:tc>
        <w:tc>
          <w:tcPr/>
          <w:p>
            <w:pPr>
              <w:pStyle w:val="Compact"/>
            </w:pPr>
            <w:r>
              <w:rPr>
                <w:b/>
                <w:bCs/>
              </w:rPr>
              <w:t xml:space="preserve">0.926 ± 0.012</w:t>
            </w:r>
          </w:p>
        </w:tc>
      </w:tr>
    </w:tbl>
    <w:p>
      <w:pPr>
        <w:pStyle w:val="BodyText"/>
      </w:pPr>
      <w:r>
        <w:t xml:space="preserve">Model v4 was selected on the basis of highest CV recall (0.920) and lowest PR-AUC standard deviation (±0.044). The random-baseline PR-AUC for 2% prevalence is 0.02; all models exceed the deployment gate of ≥ 0.15 (7.5× above random). Each outer fold contained exactly 15 confirmed positive cases, confirming adequate stratification.</w:t>
      </w:r>
    </w:p>
    <w:bookmarkEnd w:id="28"/>
    <w:bookmarkStart w:id="29" w:name="b.-test-set-performance"/>
    <w:p>
      <w:pPr>
        <w:pStyle w:val="Heading2"/>
      </w:pPr>
      <w:r>
        <w:rPr>
          <w:rStyle w:val="SectionNumber"/>
        </w:rPr>
        <w:t xml:space="preserve">6.2</w:t>
      </w:r>
      <w:r>
        <w:tab/>
      </w:r>
      <w:r>
        <w:t xml:space="preserve">B. Test Set Performance</w:t>
      </w:r>
    </w:p>
    <w:p>
      <w:pPr>
        <w:pStyle w:val="FirstParagraph"/>
      </w:pPr>
      <w:r>
        <w:t xml:space="preserve">The test set comprised a single held-out school cluster (n = 751; 15 confirmed cases) never seen during training, hyperparameter optimisation, or calibration.</w:t>
      </w:r>
    </w:p>
    <w:p>
      <w:pPr>
        <w:pStyle w:val="BodyText"/>
      </w:pPr>
      <w:r>
        <w:rPr>
          <w:b/>
          <w:bCs/>
        </w:rPr>
        <w:t xml:space="preserve">Table V. Test Set Performance — Before and After Calibration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v4 (Uncalibrated)</w:t>
            </w:r>
          </w:p>
        </w:tc>
        <w:tc>
          <w:tcPr/>
          <w:p>
            <w:pPr>
              <w:pStyle w:val="Compact"/>
            </w:pPr>
            <w:r>
              <w:t xml:space="preserve">v5 (Calibrated)</w:t>
            </w:r>
          </w:p>
        </w:tc>
      </w:tr>
      <w:tr>
        <w:tc>
          <w:tcPr/>
          <w:p>
            <w:pPr>
              <w:pStyle w:val="Compact"/>
            </w:pPr>
            <w:r>
              <w:t xml:space="preserve">Recall (Sensitivity)</w:t>
            </w:r>
          </w:p>
        </w:tc>
        <w:tc>
          <w:tcPr/>
          <w:p>
            <w:pPr>
              <w:pStyle w:val="Compact"/>
            </w:pPr>
            <w:r>
              <w:t xml:space="preserve">1.000</w:t>
            </w:r>
          </w:p>
        </w:tc>
        <w:tc>
          <w:tcPr/>
          <w:p>
            <w:pPr>
              <w:pStyle w:val="Compact"/>
            </w:pPr>
            <w:r>
              <w:rPr>
                <w:b/>
                <w:bCs/>
              </w:rPr>
              <w:t xml:space="preserve">0.933</w:t>
            </w:r>
          </w:p>
        </w:tc>
      </w:tr>
      <w:tr>
        <w:tc>
          <w:tcPr/>
          <w:p>
            <w:pPr>
              <w:pStyle w:val="Compact"/>
            </w:pPr>
            <w:r>
              <w:t xml:space="preserve">Precision (PPV)</w:t>
            </w:r>
          </w:p>
        </w:tc>
        <w:tc>
          <w:tcPr/>
          <w:p>
            <w:pPr>
              <w:pStyle w:val="Compact"/>
            </w:pPr>
            <w:r>
              <w:t xml:space="preserve">0.097</w:t>
            </w:r>
          </w:p>
        </w:tc>
        <w:tc>
          <w:tcPr/>
          <w:p>
            <w:pPr>
              <w:pStyle w:val="Compact"/>
            </w:pPr>
            <w:r>
              <w:rPr>
                <w:b/>
                <w:bCs/>
              </w:rPr>
              <w:t xml:space="preserve">0.135</w:t>
            </w:r>
          </w:p>
        </w:tc>
      </w:tr>
      <w:tr>
        <w:tc>
          <w:tcPr/>
          <w:p>
            <w:pPr>
              <w:pStyle w:val="Compact"/>
            </w:pPr>
            <w:r>
              <w:t xml:space="preserve">PR-AUC</w:t>
            </w:r>
          </w:p>
        </w:tc>
        <w:tc>
          <w:tcPr/>
          <w:p>
            <w:pPr>
              <w:pStyle w:val="Compact"/>
            </w:pPr>
            <w:r>
              <w:t xml:space="preserve">0.170</w:t>
            </w:r>
          </w:p>
        </w:tc>
        <w:tc>
          <w:tcPr/>
          <w:p>
            <w:pPr>
              <w:pStyle w:val="Compact"/>
            </w:pPr>
            <w:r>
              <w:rPr>
                <w:b/>
                <w:bCs/>
              </w:rPr>
              <w:t xml:space="preserve">0.179</w:t>
            </w:r>
          </w:p>
        </w:tc>
      </w:tr>
      <w:tr>
        <w:tc>
          <w:tcPr/>
          <w:p>
            <w:pPr>
              <w:pStyle w:val="Compact"/>
            </w:pPr>
            <w:r>
              <w:t xml:space="preserve">AUC-ROC</w:t>
            </w:r>
          </w:p>
        </w:tc>
        <w:tc>
          <w:tcPr/>
          <w:p>
            <w:pPr>
              <w:pStyle w:val="Compact"/>
            </w:pPr>
            <w:r>
              <w:t xml:space="preserve">0.939</w:t>
            </w:r>
          </w:p>
        </w:tc>
        <w:tc>
          <w:tcPr/>
          <w:p>
            <w:pPr>
              <w:pStyle w:val="Compact"/>
            </w:pPr>
            <w:r>
              <w:rPr>
                <w:b/>
                <w:bCs/>
              </w:rPr>
              <w:t xml:space="preserve">0.938</w:t>
            </w:r>
          </w:p>
        </w:tc>
      </w:tr>
      <w:tr>
        <w:tc>
          <w:tcPr/>
          <w:p>
            <w:pPr>
              <w:pStyle w:val="Compact"/>
            </w:pPr>
            <w:r>
              <w:t xml:space="preserve">Brier Score</w:t>
            </w:r>
          </w:p>
        </w:tc>
        <w:tc>
          <w:tcPr/>
          <w:p>
            <w:pPr>
              <w:pStyle w:val="Compact"/>
            </w:pPr>
            <w:r>
              <w:t xml:space="preserve">0.115</w:t>
            </w:r>
          </w:p>
        </w:tc>
        <w:tc>
          <w:tcPr/>
          <w:p>
            <w:pPr>
              <w:pStyle w:val="Compact"/>
            </w:pPr>
            <w:r>
              <w:rPr>
                <w:b/>
                <w:bCs/>
              </w:rPr>
              <w:t xml:space="preserve">0.019</w:t>
            </w:r>
          </w:p>
        </w:tc>
      </w:tr>
      <w:tr>
        <w:tc>
          <w:tcPr/>
          <w:p>
            <w:pPr>
              <w:pStyle w:val="Compact"/>
            </w:pPr>
            <w:r>
              <w:t xml:space="preserve">ECE (10-bin)</w:t>
            </w:r>
          </w:p>
        </w:tc>
        <w:tc>
          <w:tcPr/>
          <w:p>
            <w:pPr>
              <w:pStyle w:val="Compact"/>
            </w:pPr>
            <w:r>
              <w:t xml:space="preserve">0.243</w:t>
            </w:r>
          </w:p>
        </w:tc>
        <w:tc>
          <w:tcPr/>
          <w:p>
            <w:pPr>
              <w:pStyle w:val="Compact"/>
            </w:pPr>
            <w:r>
              <w:rPr>
                <w:b/>
                <w:bCs/>
              </w:rPr>
              <w:t xml:space="preserve">0.005</w:t>
            </w:r>
          </w:p>
        </w:tc>
      </w:tr>
      <w:tr>
        <w:tc>
          <w:tcPr/>
          <w:p>
            <w:pPr>
              <w:pStyle w:val="Compact"/>
            </w:pPr>
            <w:r>
              <w:t xml:space="preserve">Threshold</w:t>
            </w:r>
          </w:p>
        </w:tc>
        <w:tc>
          <w:tcPr/>
          <w:p>
            <w:pPr>
              <w:pStyle w:val="Compact"/>
            </w:pPr>
            <w:r>
              <w:t xml:space="preserve">0.438</w:t>
            </w:r>
          </w:p>
        </w:tc>
        <w:tc>
          <w:tcPr/>
          <w:p>
            <w:pPr>
              <w:pStyle w:val="Compact"/>
            </w:pPr>
            <w:r>
              <w:rPr>
                <w:b/>
                <w:bCs/>
              </w:rPr>
              <w:t xml:space="preserve">0.034</w:t>
            </w:r>
          </w:p>
        </w:tc>
      </w:tr>
    </w:tbl>
    <w:p>
      <w:pPr>
        <w:pStyle w:val="BodyText"/>
      </w:pPr>
      <w:r>
        <w:t xml:space="preserve">Platt Scaling produced a 98% reduction in ECE (0.243 → 0.005), exceeding the &lt; 0.05 gate. Recall decreased marginally (1.000 → 0.933) because the calibrated threshold operates in true probability space. The model detects 14 of 15 confirmed cases in the held-out school — a clinically acceptable operating point.</w:t>
      </w:r>
    </w:p>
    <w:p>
      <w:pPr>
        <w:pStyle w:val="BodyText"/>
      </w:pPr>
      <w:r>
        <w:rPr>
          <w:b/>
          <w:bCs/>
        </w:rPr>
        <w:t xml:space="preserve">Table VI. Confusion Matrix (v5, Test Set, Threshold = 0.034)</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Predicted Negative</w:t>
            </w:r>
          </w:p>
        </w:tc>
        <w:tc>
          <w:tcPr/>
          <w:p>
            <w:pPr>
              <w:pStyle w:val="Compact"/>
            </w:pPr>
            <w:r>
              <w:t xml:space="preserve">Predicted Positive</w:t>
            </w:r>
          </w:p>
        </w:tc>
      </w:tr>
      <w:tr>
        <w:tc>
          <w:tcPr/>
          <w:p>
            <w:pPr>
              <w:pStyle w:val="Compact"/>
            </w:pPr>
            <w:r>
              <w:rPr>
                <w:b/>
                <w:bCs/>
              </w:rPr>
              <w:t xml:space="preserve">True Negative (n = 736)</w:t>
            </w:r>
          </w:p>
        </w:tc>
        <w:tc>
          <w:tcPr/>
          <w:p>
            <w:pPr>
              <w:pStyle w:val="Compact"/>
            </w:pPr>
            <w:r>
              <w:t xml:space="preserve">647 (TN)</w:t>
            </w:r>
          </w:p>
        </w:tc>
        <w:tc>
          <w:tcPr/>
          <w:p>
            <w:pPr>
              <w:pStyle w:val="Compact"/>
            </w:pPr>
            <w:r>
              <w:t xml:space="preserve">89 (FP)</w:t>
            </w:r>
          </w:p>
        </w:tc>
      </w:tr>
      <w:tr>
        <w:tc>
          <w:tcPr/>
          <w:p>
            <w:pPr>
              <w:pStyle w:val="Compact"/>
            </w:pPr>
            <w:r>
              <w:rPr>
                <w:b/>
                <w:bCs/>
              </w:rPr>
              <w:t xml:space="preserve">True Positive (n = 15)</w:t>
            </w:r>
          </w:p>
        </w:tc>
        <w:tc>
          <w:tcPr/>
          <w:p>
            <w:pPr>
              <w:pStyle w:val="Compact"/>
            </w:pPr>
            <w:r>
              <w:t xml:space="preserve">1 (FN)</w:t>
            </w:r>
          </w:p>
        </w:tc>
        <w:tc>
          <w:tcPr/>
          <w:p>
            <w:pPr>
              <w:pStyle w:val="Compact"/>
            </w:pPr>
            <w:r>
              <w:t xml:space="preserve">14 (TP)</w:t>
            </w:r>
          </w:p>
        </w:tc>
      </w:tr>
    </w:tbl>
    <w:p>
      <w:pPr>
        <w:pStyle w:val="BodyText"/>
      </w:pPr>
      <w:r>
        <w:t xml:space="preserve">Sensitivity = 0.933, Specificity = 0.879, NPV = 0.998, PPV = 0.135.</w:t>
      </w:r>
    </w:p>
    <w:bookmarkEnd w:id="29"/>
    <w:bookmarkStart w:id="30" w:name="c.-deployment-gate-summary"/>
    <w:p>
      <w:pPr>
        <w:pStyle w:val="Heading2"/>
      </w:pPr>
      <w:r>
        <w:rPr>
          <w:rStyle w:val="SectionNumber"/>
        </w:rPr>
        <w:t xml:space="preserve">6.3</w:t>
      </w:r>
      <w:r>
        <w:tab/>
      </w:r>
      <w:r>
        <w:t xml:space="preserve">C. Deployment Gate Summary</w:t>
      </w:r>
    </w:p>
    <w:p>
      <w:pPr>
        <w:pStyle w:val="FirstParagraph"/>
      </w:pPr>
      <w:r>
        <w:rPr>
          <w:b/>
          <w:bCs/>
        </w:rPr>
        <w:t xml:space="preserve">Table VII. Deployment Gate Assessment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Gate</w:t>
            </w:r>
          </w:p>
        </w:tc>
        <w:tc>
          <w:tcPr/>
          <w:p>
            <w:pPr>
              <w:pStyle w:val="Compact"/>
            </w:pPr>
            <w:r>
              <w:t xml:space="preserve">Threshold</w:t>
            </w:r>
          </w:p>
        </w:tc>
        <w:tc>
          <w:tcPr/>
          <w:p>
            <w:pPr>
              <w:pStyle w:val="Compact"/>
            </w:pPr>
            <w:r>
              <w:t xml:space="preserve">CV Result</w:t>
            </w:r>
          </w:p>
        </w:tc>
        <w:tc>
          <w:tcPr/>
          <w:p>
            <w:pPr>
              <w:pStyle w:val="Compact"/>
            </w:pPr>
            <w:r>
              <w:t xml:space="preserve">Test Result</w:t>
            </w:r>
          </w:p>
        </w:tc>
        <w:tc>
          <w:tcPr/>
          <w:p>
            <w:pPr>
              <w:pStyle w:val="Compact"/>
            </w:pPr>
            <w:r>
              <w:t xml:space="preserve">Status</w:t>
            </w:r>
          </w:p>
        </w:tc>
      </w:tr>
      <w:tr>
        <w:tc>
          <w:tcPr/>
          <w:p>
            <w:pPr>
              <w:pStyle w:val="Compact"/>
            </w:pPr>
            <w:r>
              <w:t xml:space="preserve">Recall</w:t>
            </w:r>
          </w:p>
        </w:tc>
        <w:tc>
          <w:tcPr/>
          <w:p>
            <w:pPr>
              <w:pStyle w:val="Compact"/>
            </w:pPr>
            <w:r>
              <w:t xml:space="preserve">≥ 0.85</w:t>
            </w:r>
          </w:p>
        </w:tc>
        <w:tc>
          <w:tcPr/>
          <w:p>
            <w:pPr>
              <w:pStyle w:val="Compact"/>
            </w:pPr>
            <w:r>
              <w:t xml:space="preserve">0.920</w:t>
            </w:r>
          </w:p>
        </w:tc>
        <w:tc>
          <w:tcPr/>
          <w:p>
            <w:pPr>
              <w:pStyle w:val="Compact"/>
            </w:pPr>
            <w:r>
              <w:t xml:space="preserve">0.933</w:t>
            </w:r>
          </w:p>
        </w:tc>
        <w:tc>
          <w:tcPr/>
          <w:p>
            <w:pPr>
              <w:pStyle w:val="Compact"/>
            </w:pPr>
            <w:r>
              <w:t xml:space="preserve">PASS</w:t>
            </w:r>
          </w:p>
        </w:tc>
      </w:tr>
      <w:tr>
        <w:tc>
          <w:tcPr/>
          <w:p>
            <w:pPr>
              <w:pStyle w:val="Compact"/>
            </w:pPr>
            <w:r>
              <w:t xml:space="preserve">AUC-ROC</w:t>
            </w:r>
          </w:p>
        </w:tc>
        <w:tc>
          <w:tcPr/>
          <w:p>
            <w:pPr>
              <w:pStyle w:val="Compact"/>
            </w:pPr>
            <w:r>
              <w:t xml:space="preserve">≥ 0.80</w:t>
            </w:r>
          </w:p>
        </w:tc>
        <w:tc>
          <w:tcPr/>
          <w:p>
            <w:pPr>
              <w:pStyle w:val="Compact"/>
            </w:pPr>
            <w:r>
              <w:t xml:space="preserve">0.926</w:t>
            </w:r>
          </w:p>
        </w:tc>
        <w:tc>
          <w:tcPr/>
          <w:p>
            <w:pPr>
              <w:pStyle w:val="Compact"/>
            </w:pPr>
            <w:r>
              <w:t xml:space="preserve">0.938</w:t>
            </w:r>
          </w:p>
        </w:tc>
        <w:tc>
          <w:tcPr/>
          <w:p>
            <w:pPr>
              <w:pStyle w:val="Compact"/>
            </w:pPr>
            <w:r>
              <w:t xml:space="preserve">PASS</w:t>
            </w:r>
          </w:p>
        </w:tc>
      </w:tr>
      <w:tr>
        <w:tc>
          <w:tcPr/>
          <w:p>
            <w:pPr>
              <w:pStyle w:val="Compact"/>
            </w:pPr>
            <w:r>
              <w:t xml:space="preserve">PR-AUC</w:t>
            </w:r>
          </w:p>
        </w:tc>
        <w:tc>
          <w:tcPr/>
          <w:p>
            <w:pPr>
              <w:pStyle w:val="Compact"/>
            </w:pPr>
            <w:r>
              <w:t xml:space="preserve">≥ 0.15</w:t>
            </w:r>
          </w:p>
        </w:tc>
        <w:tc>
          <w:tcPr/>
          <w:p>
            <w:pPr>
              <w:pStyle w:val="Compact"/>
            </w:pPr>
            <w:r>
              <w:t xml:space="preserve">0.275</w:t>
            </w:r>
          </w:p>
        </w:tc>
        <w:tc>
          <w:tcPr/>
          <w:p>
            <w:pPr>
              <w:pStyle w:val="Compact"/>
            </w:pPr>
            <w:r>
              <w:t xml:space="preserve">0.179</w:t>
            </w:r>
          </w:p>
        </w:tc>
        <w:tc>
          <w:tcPr/>
          <w:p>
            <w:pPr>
              <w:pStyle w:val="Compact"/>
            </w:pPr>
            <w:r>
              <w:t xml:space="preserve">PASS</w:t>
            </w:r>
          </w:p>
        </w:tc>
      </w:tr>
      <w:tr>
        <w:tc>
          <w:tcPr/>
          <w:p>
            <w:pPr>
              <w:pStyle w:val="Compact"/>
            </w:pPr>
            <w:r>
              <w:t xml:space="preserve">ECE</w:t>
            </w:r>
          </w:p>
        </w:tc>
        <w:tc>
          <w:tcPr/>
          <w:p>
            <w:pPr>
              <w:pStyle w:val="Compact"/>
            </w:pPr>
            <w:r>
              <w:t xml:space="preserve">&lt; 0.05</w:t>
            </w:r>
          </w:p>
        </w:tc>
        <w:tc>
          <w:tcPr/>
          <w:p>
            <w:pPr>
              <w:pStyle w:val="Compact"/>
            </w:pPr>
            <w:r>
              <w:t xml:space="preserve">—</w:t>
            </w:r>
          </w:p>
        </w:tc>
        <w:tc>
          <w:tcPr/>
          <w:p>
            <w:pPr>
              <w:pStyle w:val="Compact"/>
            </w:pPr>
            <w:r>
              <w:t xml:space="preserve">0.005</w:t>
            </w:r>
          </w:p>
        </w:tc>
        <w:tc>
          <w:tcPr/>
          <w:p>
            <w:pPr>
              <w:pStyle w:val="Compact"/>
            </w:pPr>
            <w:r>
              <w:t xml:space="preserve">PASS</w:t>
            </w:r>
          </w:p>
        </w:tc>
      </w:tr>
    </w:tbl>
    <w:bookmarkEnd w:id="30"/>
    <w:bookmarkStart w:id="31" w:name="d.-global-feature-importance-shap"/>
    <w:p>
      <w:pPr>
        <w:pStyle w:val="Heading2"/>
      </w:pPr>
      <w:r>
        <w:rPr>
          <w:rStyle w:val="SectionNumber"/>
        </w:rPr>
        <w:t xml:space="preserve">6.4</w:t>
      </w:r>
      <w:r>
        <w:tab/>
      </w:r>
      <w:r>
        <w:t xml:space="preserve">D. Global Feature Importance (SHAP)</w:t>
      </w:r>
    </w:p>
    <w:p>
      <w:pPr>
        <w:pStyle w:val="FirstParagraph"/>
      </w:pPr>
      <w:r>
        <w:rPr>
          <w:b/>
          <w:bCs/>
        </w:rPr>
        <w:t xml:space="preserve">Table VIII. Top 10 Features by Global SHAP Importance</w:t>
      </w:r>
    </w:p>
    <w:tbl>
      <w:tblPr>
        <w:tblStyle w:val="Table"/>
        <w:tblW w:type="pct" w:w="5000"/>
        <w:tblLayout w:type="fixed"/>
        <w:tblLook w:firstRow="1" w:lastRow="0" w:firstColumn="0" w:lastColumn="0" w:noHBand="0" w:noVBand="0" w:val="0020"/>
      </w:tblPr>
      <w:tblGrid>
        <w:gridCol w:w="1131"/>
        <w:gridCol w:w="1697"/>
        <w:gridCol w:w="2451"/>
        <w:gridCol w:w="2640"/>
      </w:tblGrid>
      <w:tr>
        <w:trPr>
          <w:tblHeader w:val="on"/>
        </w:trPr>
        <w:tc>
          <w:tcPr/>
          <w:p>
            <w:pPr>
              <w:pStyle w:val="Compact"/>
            </w:pPr>
            <w:r>
              <w:t xml:space="preserve">Rank</w:t>
            </w:r>
          </w:p>
        </w:tc>
        <w:tc>
          <w:tcPr/>
          <w:p>
            <w:pPr>
              <w:pStyle w:val="Compact"/>
            </w:pPr>
            <w:r>
              <w:t xml:space="preserve">Feature</w:t>
            </w:r>
          </w:p>
        </w:tc>
        <w:tc>
          <w:tcPr/>
          <w:p>
            <w:pPr>
              <w:pStyle w:val="Compact"/>
            </w:pPr>
            <w:r>
              <w:t xml:space="preserve">Description</w:t>
            </w:r>
          </w:p>
        </w:tc>
        <w:tc>
          <w:tcPr/>
          <w:p>
            <w:pPr>
              <w:pStyle w:val="Compact"/>
            </w:pPr>
            <w:r>
              <w:t xml:space="preserve">Mean |SHAP|</w:t>
            </w:r>
          </w:p>
        </w:tc>
      </w:tr>
      <w:tr>
        <w:tc>
          <w:tcPr/>
          <w:p>
            <w:pPr>
              <w:pStyle w:val="Compact"/>
            </w:pPr>
            <w:r>
              <w:t xml:space="preserve">1</w:t>
            </w:r>
          </w:p>
        </w:tc>
        <w:tc>
          <w:tcPr/>
          <w:p>
            <w:pPr>
              <w:pStyle w:val="Compact"/>
            </w:pPr>
            <w:r>
              <w:t xml:space="preserve">sdq_emotional</w:t>
            </w:r>
          </w:p>
        </w:tc>
        <w:tc>
          <w:tcPr/>
          <w:p>
            <w:pPr>
              <w:pStyle w:val="Compact"/>
            </w:pPr>
            <w:r>
              <w:t xml:space="preserve">Self-rated emotional difficulties</w:t>
            </w:r>
          </w:p>
        </w:tc>
        <w:tc>
          <w:tcPr/>
          <w:p>
            <w:pPr>
              <w:pStyle w:val="Compact"/>
            </w:pPr>
            <w:r>
              <w:t xml:space="preserve">0.237</w:t>
            </w:r>
          </w:p>
        </w:tc>
      </w:tr>
      <w:tr>
        <w:tc>
          <w:tcPr/>
          <w:p>
            <w:pPr>
              <w:pStyle w:val="Compact"/>
            </w:pPr>
            <w:r>
              <w:t xml:space="preserve">2</w:t>
            </w:r>
          </w:p>
        </w:tc>
        <w:tc>
          <w:tcPr/>
          <w:p>
            <w:pPr>
              <w:pStyle w:val="Compact"/>
            </w:pPr>
            <w:r>
              <w:t xml:space="preserve">sdq_internalising</w:t>
            </w:r>
          </w:p>
        </w:tc>
        <w:tc>
          <w:tcPr/>
          <w:p>
            <w:pPr>
              <w:pStyle w:val="Compact"/>
            </w:pPr>
            <w:r>
              <w:t xml:space="preserve">Self-rated internalising composite</w:t>
            </w:r>
          </w:p>
        </w:tc>
        <w:tc>
          <w:tcPr/>
          <w:p>
            <w:pPr>
              <w:pStyle w:val="Compact"/>
            </w:pPr>
            <w:r>
              <w:t xml:space="preserve">0.215</w:t>
            </w:r>
          </w:p>
        </w:tc>
      </w:tr>
      <w:tr>
        <w:tc>
          <w:tcPr/>
          <w:p>
            <w:pPr>
              <w:pStyle w:val="Compact"/>
            </w:pPr>
            <w:r>
              <w:t xml:space="preserve">3</w:t>
            </w:r>
          </w:p>
        </w:tc>
        <w:tc>
          <w:tcPr/>
          <w:p>
            <w:pPr>
              <w:pStyle w:val="Compact"/>
            </w:pPr>
            <w:r>
              <w:t xml:space="preserve">wellbeing_wemwbs</w:t>
            </w:r>
          </w:p>
        </w:tc>
        <w:tc>
          <w:tcPr/>
          <w:p>
            <w:pPr>
              <w:pStyle w:val="Compact"/>
            </w:pPr>
            <w:r>
              <w:t xml:space="preserve">WEMWBS total wellbeing score</w:t>
            </w:r>
          </w:p>
        </w:tc>
        <w:tc>
          <w:tcPr/>
          <w:p>
            <w:pPr>
              <w:pStyle w:val="Compact"/>
            </w:pPr>
            <w:r>
              <w:t xml:space="preserve">0.181</w:t>
            </w:r>
          </w:p>
        </w:tc>
      </w:tr>
      <w:tr>
        <w:tc>
          <w:tcPr/>
          <w:p>
            <w:pPr>
              <w:pStyle w:val="Compact"/>
            </w:pPr>
            <w:r>
              <w:t xml:space="preserve">4</w:t>
            </w:r>
          </w:p>
        </w:tc>
        <w:tc>
          <w:tcPr/>
          <w:p>
            <w:pPr>
              <w:pStyle w:val="Compact"/>
            </w:pPr>
            <w:r>
              <w:t xml:space="preserve">psdq_emotional</w:t>
            </w:r>
          </w:p>
        </w:tc>
        <w:tc>
          <w:tcPr/>
          <w:p>
            <w:pPr>
              <w:pStyle w:val="Compact"/>
            </w:pPr>
            <w:r>
              <w:t xml:space="preserve">Parent-rated emotional difficulties</w:t>
            </w:r>
          </w:p>
        </w:tc>
        <w:tc>
          <w:tcPr/>
          <w:p>
            <w:pPr>
              <w:pStyle w:val="Compact"/>
            </w:pPr>
            <w:r>
              <w:t xml:space="preserve">0.168</w:t>
            </w:r>
          </w:p>
        </w:tc>
      </w:tr>
      <w:tr>
        <w:tc>
          <w:tcPr/>
          <w:p>
            <w:pPr>
              <w:pStyle w:val="Compact"/>
            </w:pPr>
            <w:r>
              <w:t xml:space="preserve">5</w:t>
            </w:r>
          </w:p>
        </w:tc>
        <w:tc>
          <w:tcPr/>
          <w:p>
            <w:pPr>
              <w:pStyle w:val="Compact"/>
            </w:pPr>
            <w:r>
              <w:t xml:space="preserve">psdq_internalising</w:t>
            </w:r>
          </w:p>
        </w:tc>
        <w:tc>
          <w:tcPr/>
          <w:p>
            <w:pPr>
              <w:pStyle w:val="Compact"/>
            </w:pPr>
            <w:r>
              <w:t xml:space="preserve">Parent-rated internalising composite</w:t>
            </w:r>
          </w:p>
        </w:tc>
        <w:tc>
          <w:tcPr/>
          <w:p>
            <w:pPr>
              <w:pStyle w:val="Compact"/>
            </w:pPr>
            <w:r>
              <w:t xml:space="preserve">0.148</w:t>
            </w:r>
          </w:p>
        </w:tc>
      </w:tr>
      <w:tr>
        <w:tc>
          <w:tcPr/>
          <w:p>
            <w:pPr>
              <w:pStyle w:val="Compact"/>
            </w:pPr>
            <w:r>
              <w:t xml:space="preserve">6</w:t>
            </w:r>
          </w:p>
        </w:tc>
        <w:tc>
          <w:tcPr/>
          <w:p>
            <w:pPr>
              <w:pStyle w:val="Compact"/>
            </w:pPr>
            <w:r>
              <w:t xml:space="preserve">age_years</w:t>
            </w:r>
          </w:p>
        </w:tc>
        <w:tc>
          <w:tcPr/>
          <w:p>
            <w:pPr>
              <w:pStyle w:val="Compact"/>
            </w:pPr>
            <w:r>
              <w:t xml:space="preserve">Age at assessment</w:t>
            </w:r>
          </w:p>
        </w:tc>
        <w:tc>
          <w:tcPr/>
          <w:p>
            <w:pPr>
              <w:pStyle w:val="Compact"/>
            </w:pPr>
            <w:r>
              <w:t xml:space="preserve">0.112</w:t>
            </w:r>
          </w:p>
        </w:tc>
      </w:tr>
      <w:tr>
        <w:tc>
          <w:tcPr/>
          <w:p>
            <w:pPr>
              <w:pStyle w:val="Compact"/>
            </w:pPr>
            <w:r>
              <w:t xml:space="preserve">7</w:t>
            </w:r>
          </w:p>
        </w:tc>
        <w:tc>
          <w:tcPr/>
          <w:p>
            <w:pPr>
              <w:pStyle w:val="Compact"/>
            </w:pPr>
            <w:r>
              <w:t xml:space="preserve">deprivation_quintile</w:t>
            </w:r>
          </w:p>
        </w:tc>
        <w:tc>
          <w:tcPr/>
          <w:p>
            <w:pPr>
              <w:pStyle w:val="Compact"/>
            </w:pPr>
            <w:r>
              <w:t xml:space="preserve">IMD deprivation quintile</w:t>
            </w:r>
          </w:p>
        </w:tc>
        <w:tc>
          <w:tcPr/>
          <w:p>
            <w:pPr>
              <w:pStyle w:val="Compact"/>
            </w:pPr>
            <w:r>
              <w:t xml:space="preserve">0.094</w:t>
            </w:r>
          </w:p>
        </w:tc>
      </w:tr>
      <w:tr>
        <w:tc>
          <w:tcPr/>
          <w:p>
            <w:pPr>
              <w:pStyle w:val="Compact"/>
            </w:pPr>
            <w:r>
              <w:t xml:space="preserve">8</w:t>
            </w:r>
          </w:p>
        </w:tc>
        <w:tc>
          <w:tcPr/>
          <w:p>
            <w:pPr>
              <w:pStyle w:val="Compact"/>
            </w:pPr>
            <w:r>
              <w:t xml:space="preserve">sdq_peer</w:t>
            </w:r>
          </w:p>
        </w:tc>
        <w:tc>
          <w:tcPr/>
          <w:p>
            <w:pPr>
              <w:pStyle w:val="Compact"/>
            </w:pPr>
            <w:r>
              <w:t xml:space="preserve">Self-rated peer relationship problems</w:t>
            </w:r>
          </w:p>
        </w:tc>
        <w:tc>
          <w:tcPr/>
          <w:p>
            <w:pPr>
              <w:pStyle w:val="Compact"/>
            </w:pPr>
            <w:r>
              <w:t xml:space="preserve">0.087</w:t>
            </w:r>
          </w:p>
        </w:tc>
      </w:tr>
      <w:tr>
        <w:tc>
          <w:tcPr/>
          <w:p>
            <w:pPr>
              <w:pStyle w:val="Compact"/>
            </w:pPr>
            <w:r>
              <w:t xml:space="preserve">9</w:t>
            </w:r>
          </w:p>
        </w:tc>
        <w:tc>
          <w:tcPr/>
          <w:p>
            <w:pPr>
              <w:pStyle w:val="Compact"/>
            </w:pPr>
            <w:r>
              <w:t xml:space="preserve">psdq_prosocial</w:t>
            </w:r>
          </w:p>
        </w:tc>
        <w:tc>
          <w:tcPr/>
          <w:p>
            <w:pPr>
              <w:pStyle w:val="Compact"/>
            </w:pPr>
            <w:r>
              <w:t xml:space="preserve">Parent-rated prosocial behaviour</w:t>
            </w:r>
          </w:p>
        </w:tc>
        <w:tc>
          <w:tcPr/>
          <w:p>
            <w:pPr>
              <w:pStyle w:val="Compact"/>
            </w:pPr>
            <w:r>
              <w:t xml:space="preserve">0.079</w:t>
            </w:r>
          </w:p>
        </w:tc>
      </w:tr>
      <w:tr>
        <w:tc>
          <w:tcPr/>
          <w:p>
            <w:pPr>
              <w:pStyle w:val="Compact"/>
            </w:pPr>
            <w:r>
              <w:t xml:space="preserve">10</w:t>
            </w:r>
          </w:p>
        </w:tc>
        <w:tc>
          <w:tcPr/>
          <w:p>
            <w:pPr>
              <w:pStyle w:val="Compact"/>
            </w:pPr>
            <w:r>
              <w:t xml:space="preserve">psdq_peer</w:t>
            </w:r>
          </w:p>
        </w:tc>
        <w:tc>
          <w:tcPr/>
          <w:p>
            <w:pPr>
              <w:pStyle w:val="Compact"/>
            </w:pPr>
            <w:r>
              <w:t xml:space="preserve">Parent-rated peer relationship problems</w:t>
            </w:r>
          </w:p>
        </w:tc>
        <w:tc>
          <w:tcPr/>
          <w:p>
            <w:pPr>
              <w:pStyle w:val="Compact"/>
            </w:pPr>
            <w:r>
              <w:t xml:space="preserve">0.071</w:t>
            </w:r>
          </w:p>
        </w:tc>
      </w:tr>
    </w:tbl>
    <w:p>
      <w:pPr>
        <w:pStyle w:val="BodyText"/>
      </w:pPr>
      <w:r>
        <w:t xml:space="preserve">The dominance of SDQ emotional subscales and WEMWBS is consistent with the large between-group effect sizes observed in the descriptive statistics and with the clinical literature on social phobia. A depth-4 surrogate decision tree fitted to model predictions achieved</w:t>
      </w:r>
      <w:r>
        <w:t xml:space="preserve"> </w:t>
      </w:r>
      <w:r>
        <w:rPr>
          <w:b/>
          <w:bCs/>
        </w:rPr>
        <w:t xml:space="preserve">92.5% fidelity</w:t>
      </w:r>
      <w:r>
        <w:t xml:space="preserve"> </w:t>
      </w:r>
      <w:r>
        <w:t xml:space="preserve">using only three features:</w:t>
      </w:r>
      <w:r>
        <w:t xml:space="preserve"> </w:t>
      </w:r>
      <w:r>
        <w:rPr>
          <w:rStyle w:val="VerbatimChar"/>
        </w:rPr>
        <w:t xml:space="preserve">sdq_internalising</w:t>
      </w:r>
      <w:r>
        <w:t xml:space="preserve">,</w:t>
      </w:r>
      <w:r>
        <w:t xml:space="preserve"> </w:t>
      </w:r>
      <w:r>
        <w:rPr>
          <w:rStyle w:val="VerbatimChar"/>
        </w:rPr>
        <w:t xml:space="preserve">psdq_internalising</w:t>
      </w:r>
      <w:r>
        <w:t xml:space="preserve">, and</w:t>
      </w:r>
      <w:r>
        <w:t xml:space="preserve"> </w:t>
      </w:r>
      <w:r>
        <w:rPr>
          <w:rStyle w:val="VerbatimChar"/>
        </w:rPr>
        <w:t xml:space="preserve">wellbeing_wemwbs</w:t>
      </w:r>
      <w:r>
        <w:t xml:space="preserve">. The core decision rule is: elevated self-rated and parent-rated internalising problems combined with low wellbeing score → flag for pastoral follow-up.</w:t>
      </w:r>
    </w:p>
    <w:bookmarkEnd w:id="31"/>
    <w:bookmarkStart w:id="32" w:name="e.-fairness-audit"/>
    <w:p>
      <w:pPr>
        <w:pStyle w:val="Heading2"/>
      </w:pPr>
      <w:r>
        <w:rPr>
          <w:rStyle w:val="SectionNumber"/>
        </w:rPr>
        <w:t xml:space="preserve">6.5</w:t>
      </w:r>
      <w:r>
        <w:tab/>
      </w:r>
      <w:r>
        <w:t xml:space="preserve">E. Fairness Audit</w:t>
      </w:r>
    </w:p>
    <w:p>
      <w:pPr>
        <w:pStyle w:val="FirstParagraph"/>
      </w:pPr>
      <w:r>
        <w:rPr>
          <w:b/>
          <w:bCs/>
        </w:rPr>
        <w:t xml:space="preserve">Table IX. Recall Parity by Demographic Subgroup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Group</w:t>
            </w:r>
          </w:p>
        </w:tc>
        <w:tc>
          <w:tcPr/>
          <w:p>
            <w:pPr>
              <w:pStyle w:val="Compact"/>
            </w:pPr>
            <w:r>
              <w:t xml:space="preserve">Subgroup</w:t>
            </w:r>
          </w:p>
        </w:tc>
        <w:tc>
          <w:tcPr/>
          <w:p>
            <w:pPr>
              <w:pStyle w:val="Compact"/>
            </w:pPr>
            <w:r>
              <w:t xml:space="preserve">n</w:t>
            </w:r>
          </w:p>
        </w:tc>
        <w:tc>
          <w:tcPr/>
          <w:p>
            <w:pPr>
              <w:pStyle w:val="Compact"/>
            </w:pPr>
            <w:r>
              <w:t xml:space="preserve">Positives</w:t>
            </w:r>
          </w:p>
        </w:tc>
        <w:tc>
          <w:tcPr/>
          <w:p>
            <w:pPr>
              <w:pStyle w:val="Compact"/>
            </w:pPr>
            <w:r>
              <w:t xml:space="preserve">Recall</w:t>
            </w:r>
          </w:p>
        </w:tc>
      </w:tr>
      <w:tr>
        <w:tc>
          <w:tcPr/>
          <w:p>
            <w:pPr>
              <w:pStyle w:val="Compact"/>
            </w:pPr>
            <w:r>
              <w:t xml:space="preserve">Gender</w:t>
            </w:r>
          </w:p>
        </w:tc>
        <w:tc>
          <w:tcPr/>
          <w:p>
            <w:pPr>
              <w:pStyle w:val="Compact"/>
            </w:pPr>
            <w:r>
              <w:t xml:space="preserve">Male</w:t>
            </w:r>
          </w:p>
        </w:tc>
        <w:tc>
          <w:tcPr/>
          <w:p>
            <w:pPr>
              <w:pStyle w:val="Compact"/>
            </w:pPr>
            <w:r>
              <w:t xml:space="preserve">1,878</w:t>
            </w:r>
          </w:p>
        </w:tc>
        <w:tc>
          <w:tcPr/>
          <w:p>
            <w:pPr>
              <w:pStyle w:val="Compact"/>
            </w:pPr>
            <w:r>
              <w:t xml:space="preserve">22</w:t>
            </w:r>
          </w:p>
        </w:tc>
        <w:tc>
          <w:tcPr/>
          <w:p>
            <w:pPr>
              <w:pStyle w:val="Compact"/>
            </w:pPr>
            <w:r>
              <w:t xml:space="preserve">0.955</w:t>
            </w:r>
          </w:p>
        </w:tc>
      </w:tr>
      <w:tr>
        <w:tc>
          <w:tcPr/>
          <w:p>
            <w:pPr>
              <w:pStyle w:val="Compact"/>
            </w:pPr>
            <w:r>
              <w:t xml:space="preserve">Gender</w:t>
            </w:r>
          </w:p>
        </w:tc>
        <w:tc>
          <w:tcPr/>
          <w:p>
            <w:pPr>
              <w:pStyle w:val="Compact"/>
            </w:pPr>
            <w:r>
              <w:t xml:space="preserve">Female</w:t>
            </w:r>
          </w:p>
        </w:tc>
        <w:tc>
          <w:tcPr/>
          <w:p>
            <w:pPr>
              <w:pStyle w:val="Compact"/>
            </w:pPr>
            <w:r>
              <w:t xml:space="preserve">1,871</w:t>
            </w:r>
          </w:p>
        </w:tc>
        <w:tc>
          <w:tcPr/>
          <w:p>
            <w:pPr>
              <w:pStyle w:val="Compact"/>
            </w:pPr>
            <w:r>
              <w:t xml:space="preserve">53</w:t>
            </w:r>
          </w:p>
        </w:tc>
        <w:tc>
          <w:tcPr/>
          <w:p>
            <w:pPr>
              <w:pStyle w:val="Compact"/>
            </w:pPr>
            <w:r>
              <w:t xml:space="preserve">0.906</w:t>
            </w:r>
          </w:p>
        </w:tc>
      </w:tr>
      <w:tr>
        <w:tc>
          <w:tcPr/>
          <w:p>
            <w:pPr>
              <w:pStyle w:val="Compact"/>
            </w:pPr>
            <w:r>
              <w:t xml:space="preserve">Age</w:t>
            </w:r>
          </w:p>
        </w:tc>
        <w:tc>
          <w:tcPr/>
          <w:p>
            <w:pPr>
              <w:pStyle w:val="Compact"/>
            </w:pPr>
            <w:r>
              <w:t xml:space="preserve">11–13</w:t>
            </w:r>
          </w:p>
        </w:tc>
        <w:tc>
          <w:tcPr/>
          <w:p>
            <w:pPr>
              <w:pStyle w:val="Compact"/>
            </w:pPr>
            <w:r>
              <w:t xml:space="preserve">1,615</w:t>
            </w:r>
          </w:p>
        </w:tc>
        <w:tc>
          <w:tcPr/>
          <w:p>
            <w:pPr>
              <w:pStyle w:val="Compact"/>
            </w:pPr>
            <w:r>
              <w:t xml:space="preserve">16</w:t>
            </w:r>
          </w:p>
        </w:tc>
        <w:tc>
          <w:tcPr/>
          <w:p>
            <w:pPr>
              <w:pStyle w:val="Compact"/>
            </w:pPr>
            <w:r>
              <w:t xml:space="preserve">0.938</w:t>
            </w:r>
          </w:p>
        </w:tc>
      </w:tr>
      <w:tr>
        <w:tc>
          <w:tcPr/>
          <w:p>
            <w:pPr>
              <w:pStyle w:val="Compact"/>
            </w:pPr>
            <w:r>
              <w:t xml:space="preserve">Age</w:t>
            </w:r>
          </w:p>
        </w:tc>
        <w:tc>
          <w:tcPr/>
          <w:p>
            <w:pPr>
              <w:pStyle w:val="Compact"/>
            </w:pPr>
            <w:r>
              <w:t xml:space="preserve">14–16</w:t>
            </w:r>
          </w:p>
        </w:tc>
        <w:tc>
          <w:tcPr/>
          <w:p>
            <w:pPr>
              <w:pStyle w:val="Compact"/>
            </w:pPr>
            <w:r>
              <w:t xml:space="preserve">1,506</w:t>
            </w:r>
          </w:p>
        </w:tc>
        <w:tc>
          <w:tcPr/>
          <w:p>
            <w:pPr>
              <w:pStyle w:val="Compact"/>
            </w:pPr>
            <w:r>
              <w:t xml:space="preserve">28</w:t>
            </w:r>
          </w:p>
        </w:tc>
        <w:tc>
          <w:tcPr/>
          <w:p>
            <w:pPr>
              <w:pStyle w:val="Compact"/>
            </w:pPr>
            <w:r>
              <w:t xml:space="preserve">0.857</w:t>
            </w:r>
          </w:p>
        </w:tc>
      </w:tr>
      <w:tr>
        <w:tc>
          <w:tcPr/>
          <w:p>
            <w:pPr>
              <w:pStyle w:val="Compact"/>
            </w:pPr>
            <w:r>
              <w:t xml:space="preserve">Age</w:t>
            </w:r>
          </w:p>
        </w:tc>
        <w:tc>
          <w:tcPr/>
          <w:p>
            <w:pPr>
              <w:pStyle w:val="Compact"/>
            </w:pPr>
            <w:r>
              <w:t xml:space="preserve">17–18</w:t>
            </w:r>
          </w:p>
        </w:tc>
        <w:tc>
          <w:tcPr/>
          <w:p>
            <w:pPr>
              <w:pStyle w:val="Compact"/>
            </w:pPr>
            <w:r>
              <w:t xml:space="preserve">628</w:t>
            </w:r>
          </w:p>
        </w:tc>
        <w:tc>
          <w:tcPr/>
          <w:p>
            <w:pPr>
              <w:pStyle w:val="Compact"/>
            </w:pPr>
            <w:r>
              <w:t xml:space="preserve">31</w:t>
            </w:r>
          </w:p>
        </w:tc>
        <w:tc>
          <w:tcPr/>
          <w:p>
            <w:pPr>
              <w:pStyle w:val="Compact"/>
            </w:pPr>
            <w:r>
              <w:t xml:space="preserve">0.968</w:t>
            </w:r>
          </w:p>
        </w:tc>
      </w:tr>
      <w:tr>
        <w:tc>
          <w:tcPr/>
          <w:p>
            <w:pPr>
              <w:pStyle w:val="Compact"/>
            </w:pPr>
            <w:r>
              <w:t xml:space="preserve">SEN</w:t>
            </w:r>
          </w:p>
        </w:tc>
        <w:tc>
          <w:tcPr/>
          <w:p>
            <w:pPr>
              <w:pStyle w:val="Compact"/>
            </w:pPr>
            <w:r>
              <w:t xml:space="preserve">No SEN</w:t>
            </w:r>
          </w:p>
        </w:tc>
        <w:tc>
          <w:tcPr/>
          <w:p>
            <w:pPr>
              <w:pStyle w:val="Compact"/>
            </w:pPr>
            <w:r>
              <w:t xml:space="preserve">3,093</w:t>
            </w:r>
          </w:p>
        </w:tc>
        <w:tc>
          <w:tcPr/>
          <w:p>
            <w:pPr>
              <w:pStyle w:val="Compact"/>
            </w:pPr>
            <w:r>
              <w:t xml:space="preserve">53</w:t>
            </w:r>
          </w:p>
        </w:tc>
        <w:tc>
          <w:tcPr/>
          <w:p>
            <w:pPr>
              <w:pStyle w:val="Compact"/>
            </w:pPr>
            <w:r>
              <w:t xml:space="preserve">0.925</w:t>
            </w:r>
          </w:p>
        </w:tc>
      </w:tr>
      <w:tr>
        <w:tc>
          <w:tcPr/>
          <w:p>
            <w:pPr>
              <w:pStyle w:val="Compact"/>
            </w:pPr>
            <w:r>
              <w:t xml:space="preserve">SEN</w:t>
            </w:r>
          </w:p>
        </w:tc>
        <w:tc>
          <w:tcPr/>
          <w:p>
            <w:pPr>
              <w:pStyle w:val="Compact"/>
            </w:pPr>
            <w:r>
              <w:t xml:space="preserve">SEN</w:t>
            </w:r>
          </w:p>
        </w:tc>
        <w:tc>
          <w:tcPr/>
          <w:p>
            <w:pPr>
              <w:pStyle w:val="Compact"/>
            </w:pPr>
            <w:r>
              <w:t xml:space="preserve">314</w:t>
            </w:r>
          </w:p>
        </w:tc>
        <w:tc>
          <w:tcPr/>
          <w:p>
            <w:pPr>
              <w:pStyle w:val="Compact"/>
            </w:pPr>
            <w:r>
              <w:t xml:space="preserve">8</w:t>
            </w:r>
          </w:p>
        </w:tc>
        <w:tc>
          <w:tcPr/>
          <w:p>
            <w:pPr>
              <w:pStyle w:val="Compact"/>
            </w:pPr>
            <w:r>
              <w:t xml:space="preserve">0.875</w:t>
            </w:r>
          </w:p>
        </w:tc>
      </w:tr>
      <w:tr>
        <w:tc>
          <w:tcPr/>
          <w:p>
            <w:pPr>
              <w:pStyle w:val="Compact"/>
            </w:pPr>
            <w:r>
              <w:t xml:space="preserve">Deprivation</w:t>
            </w:r>
          </w:p>
        </w:tc>
        <w:tc>
          <w:tcPr/>
          <w:p>
            <w:pPr>
              <w:pStyle w:val="Compact"/>
            </w:pPr>
            <w:r>
              <w:t xml:space="preserve">Q1–Q2 (deprived)</w:t>
            </w:r>
          </w:p>
        </w:tc>
        <w:tc>
          <w:tcPr/>
          <w:p>
            <w:pPr>
              <w:pStyle w:val="Compact"/>
            </w:pPr>
            <w:r>
              <w:t xml:space="preserve">1,314</w:t>
            </w:r>
          </w:p>
        </w:tc>
        <w:tc>
          <w:tcPr/>
          <w:p>
            <w:pPr>
              <w:pStyle w:val="Compact"/>
            </w:pPr>
            <w:r>
              <w:t xml:space="preserve">20</w:t>
            </w:r>
          </w:p>
        </w:tc>
        <w:tc>
          <w:tcPr/>
          <w:p>
            <w:pPr>
              <w:pStyle w:val="Compact"/>
            </w:pPr>
            <w:r>
              <w:t xml:space="preserve">0.900</w:t>
            </w:r>
          </w:p>
        </w:tc>
      </w:tr>
      <w:tr>
        <w:tc>
          <w:tcPr/>
          <w:p>
            <w:pPr>
              <w:pStyle w:val="Compact"/>
            </w:pPr>
            <w:r>
              <w:t xml:space="preserve">Deprivation</w:t>
            </w:r>
          </w:p>
        </w:tc>
        <w:tc>
          <w:tcPr/>
          <w:p>
            <w:pPr>
              <w:pStyle w:val="Compact"/>
            </w:pPr>
            <w:r>
              <w:t xml:space="preserve">Q3 (middle)</w:t>
            </w:r>
          </w:p>
        </w:tc>
        <w:tc>
          <w:tcPr/>
          <w:p>
            <w:pPr>
              <w:pStyle w:val="Compact"/>
            </w:pPr>
            <w:r>
              <w:t xml:space="preserve">820</w:t>
            </w:r>
          </w:p>
        </w:tc>
        <w:tc>
          <w:tcPr/>
          <w:p>
            <w:pPr>
              <w:pStyle w:val="Compact"/>
            </w:pPr>
            <w:r>
              <w:t xml:space="preserve">17</w:t>
            </w:r>
          </w:p>
        </w:tc>
        <w:tc>
          <w:tcPr/>
          <w:p>
            <w:pPr>
              <w:pStyle w:val="Compact"/>
            </w:pPr>
            <w:r>
              <w:t xml:space="preserve">1.000</w:t>
            </w:r>
          </w:p>
        </w:tc>
      </w:tr>
      <w:tr>
        <w:tc>
          <w:tcPr/>
          <w:p>
            <w:pPr>
              <w:pStyle w:val="Compact"/>
            </w:pPr>
            <w:r>
              <w:t xml:space="preserve">Deprivation</w:t>
            </w:r>
          </w:p>
        </w:tc>
        <w:tc>
          <w:tcPr/>
          <w:p>
            <w:pPr>
              <w:pStyle w:val="Compact"/>
            </w:pPr>
            <w:r>
              <w:t xml:space="preserve">Q4–Q5 (affluent)</w:t>
            </w:r>
          </w:p>
        </w:tc>
        <w:tc>
          <w:tcPr/>
          <w:p>
            <w:pPr>
              <w:pStyle w:val="Compact"/>
            </w:pPr>
            <w:r>
              <w:t xml:space="preserve">1,615</w:t>
            </w:r>
          </w:p>
        </w:tc>
        <w:tc>
          <w:tcPr/>
          <w:p>
            <w:pPr>
              <w:pStyle w:val="Compact"/>
            </w:pPr>
            <w:r>
              <w:t xml:space="preserve">38</w:t>
            </w:r>
          </w:p>
        </w:tc>
        <w:tc>
          <w:tcPr/>
          <w:p>
            <w:pPr>
              <w:pStyle w:val="Compact"/>
            </w:pPr>
            <w:r>
              <w:t xml:space="preserve">0.895</w:t>
            </w:r>
          </w:p>
        </w:tc>
      </w:tr>
    </w:tbl>
    <w:p>
      <w:pPr>
        <w:pStyle w:val="BodyText"/>
      </w:pPr>
      <w:r>
        <w:t xml:space="preserve">Recall range: 0.857–1.000 (gap = 0.143). The parity gap exceeds the 0.10 threshold, driven primarily by the 14–16 age group (recall = 0.857) and the high upper bound in deprivation Q3 (recall = 1.000; based on 17 positives — high variance). Gender gap (0.049) and SEN gap (0.050) are within acceptable ranges. Fairness by ethnicity could not be assessed due to structural incompleteness of the</w:t>
      </w:r>
      <w:r>
        <w:t xml:space="preserve"> </w:t>
      </w:r>
      <w:r>
        <w:rPr>
          <w:rStyle w:val="VerbatimChar"/>
        </w:rPr>
        <w:t xml:space="preserve">ethnicity_bme</w:t>
      </w:r>
      <w:r>
        <w:t xml:space="preserve"> </w:t>
      </w:r>
      <w:r>
        <w:t xml:space="preserve">variable in UKDA-8467.</w:t>
      </w:r>
    </w:p>
    <w:p>
      <w:r>
        <w:pict>
          <v:rect style="width:0;height:1.5pt" o:hralign="center" o:hrstd="t" o:hr="t"/>
        </w:pict>
      </w:r>
    </w:p>
    <w:bookmarkEnd w:id="32"/>
    <w:bookmarkEnd w:id="33"/>
    <w:bookmarkStart w:id="34" w:name="vi.-discussion"/>
    <w:p>
      <w:pPr>
        <w:pStyle w:val="Heading1"/>
      </w:pPr>
      <w:r>
        <w:rPr>
          <w:rStyle w:val="SectionNumber"/>
        </w:rPr>
        <w:t xml:space="preserve">7</w:t>
      </w:r>
      <w:r>
        <w:tab/>
      </w:r>
      <w:r>
        <w:t xml:space="preserve">VI. Discussion</w:t>
      </w:r>
    </w:p>
    <w:p>
      <w:pPr>
        <w:pStyle w:val="FirstParagraph"/>
      </w:pPr>
      <w:r>
        <w:t xml:space="preserve">The results demonstrate that a Logistic Regression classifier trained on SDQ and WEMWBS data from the MHCYP 2017 national survey can detect social phobia in school-aged children with cross-validated recall of 0.920 and test recall of 0.933 — exceeding the pre-specified clinical deployment gate. Three findings are particularly noteworthy.</w:t>
      </w:r>
    </w:p>
    <w:p>
      <w:pPr>
        <w:pStyle w:val="BodyText"/>
      </w:pPr>
      <w:r>
        <w:t xml:space="preserve">First,</w:t>
      </w:r>
      <w:r>
        <w:t xml:space="preserve"> </w:t>
      </w:r>
      <w:r>
        <w:rPr>
          <w:b/>
          <w:bCs/>
        </w:rPr>
        <w:t xml:space="preserve">the SDQ-WEMWBS feature set is highly discriminative</w:t>
      </w:r>
      <w:r>
        <w:t xml:space="preserve"> </w:t>
      </w:r>
      <w:r>
        <w:t xml:space="preserve">despite being designed for general emotional distress rather than social-anxiety-specific assessment. The large effect sizes observed (SDQ emotional</w:t>
      </w:r>
      <w:r>
        <w:t xml:space="preserve"> </w:t>
      </w:r>
      <w:r>
        <w:rPr>
          <w:i/>
          <w:iCs/>
        </w:rPr>
        <w:t xml:space="preserve">d</w:t>
      </w:r>
      <w:r>
        <w:t xml:space="preserve"> </w:t>
      </w:r>
      <w:r>
        <w:t xml:space="preserve">= 1.92; WEMWBS</w:t>
      </w:r>
      <w:r>
        <w:t xml:space="preserve"> </w:t>
      </w:r>
      <w:r>
        <w:rPr>
          <w:i/>
          <w:iCs/>
        </w:rPr>
        <w:t xml:space="preserve">d</w:t>
      </w:r>
      <w:r>
        <w:t xml:space="preserve"> </w:t>
      </w:r>
      <w:r>
        <w:t xml:space="preserve">= −1.63) suggest that students with ICD-10 social phobia are substantially elevated on general internalising measures — sufficient for a screening signal even without social-phobia-specific items.</w:t>
      </w:r>
    </w:p>
    <w:p>
      <w:pPr>
        <w:pStyle w:val="BodyText"/>
      </w:pPr>
      <w:r>
        <w:t xml:space="preserve">Second,</w:t>
      </w:r>
      <w:r>
        <w:t xml:space="preserve"> </w:t>
      </w:r>
      <w:r>
        <w:rPr>
          <w:b/>
          <w:bCs/>
        </w:rPr>
        <w:t xml:space="preserve">calibration is essential for practical deployment</w:t>
      </w:r>
      <w:r>
        <w:t xml:space="preserve">. The uncalibrated model (v4) had an ECE of 0.243, meaning its probabilities were systematically misleading as quantitative risk estimates. After Platt Scaling, ECE fell to 0.005 — the predicted probability now reflects the true base rate. A school pastoral lead seeing a predicted risk of 8% can interpret this as approximately 4× the population prevalence, enabling proportionate action. Without calibration, the same probability would be meaningless as a communication tool.</w:t>
      </w:r>
    </w:p>
    <w:p>
      <w:pPr>
        <w:pStyle w:val="BodyText"/>
      </w:pPr>
      <w:r>
        <w:t xml:space="preserve">Third,</w:t>
      </w:r>
      <w:r>
        <w:t xml:space="preserve"> </w:t>
      </w:r>
      <w:r>
        <w:rPr>
          <w:b/>
          <w:bCs/>
        </w:rPr>
        <w:t xml:space="preserve">explainability via SHAP and surrogate tree supports practitioner adoption</w:t>
      </w:r>
      <w:r>
        <w:t xml:space="preserve">. The finding that three features reproduce 92.5% of model decisions is practically significant: school staff can be briefed that the tool is primarily flagging students who score high on both self and parent emotional SDQ subscales and low on WEMWBS. This is communicable, auditable, and consistent with clinical knowledge — reducing the risk of the tool being treated as a black box.</w:t>
      </w:r>
    </w:p>
    <w:p>
      <w:pPr>
        <w:pStyle w:val="BodyText"/>
      </w:pPr>
      <w:r>
        <w:t xml:space="preserve">The 14–16 age group fairness gap (recall = 0.857 vs. 1.000 in deprivation Q3) warrants attention. This age group may present with more subtle symptom profiles — social anxiety in mid-adolescence is often masked by increased performance on self-report measures, as students develop strategies to conceal distress [3]. Future work should examine whether additional features specific to this age group (e.g., academic performance band, peer relationship quality ratings) could close this gap.</w:t>
      </w:r>
    </w:p>
    <w:p>
      <w:pPr>
        <w:pStyle w:val="BodyText"/>
      </w:pPr>
      <w:r>
        <w:t xml:space="preserve">The low precision (PPV = 0.135) is an inherent consequence of operating at 2% prevalence. For every 7 students flagged, approximately 6 are non-cases. This is operationally manageable — a school screening 1,200 students would produce approximately 133 flags, of which ~22 would be confirmed on follow-up — but schools must be briefed that the tool surfaces students for a conversation, not a diagnosis.</w:t>
      </w:r>
    </w:p>
    <w:p>
      <w:r>
        <w:pict>
          <v:rect style="width:0;height:1.5pt" o:hralign="center" o:hrstd="t" o:hr="t"/>
        </w:pict>
      </w:r>
    </w:p>
    <w:bookmarkEnd w:id="34"/>
    <w:bookmarkStart w:id="35" w:name="vii.-limitations"/>
    <w:p>
      <w:pPr>
        <w:pStyle w:val="Heading1"/>
      </w:pPr>
      <w:r>
        <w:rPr>
          <w:rStyle w:val="SectionNumber"/>
        </w:rPr>
        <w:t xml:space="preserve">8</w:t>
      </w:r>
      <w:r>
        <w:tab/>
      </w:r>
      <w:r>
        <w:t xml:space="preserve">VII. Limitations</w:t>
      </w:r>
    </w:p>
    <w:p>
      <w:pPr>
        <w:numPr>
          <w:ilvl w:val="0"/>
          <w:numId w:val="1003"/>
        </w:numPr>
      </w:pPr>
      <w:r>
        <w:rPr>
          <w:b/>
          <w:bCs/>
        </w:rPr>
        <w:t xml:space="preserve">Dataset vintage</w:t>
      </w:r>
      <w:r>
        <w:t xml:space="preserve">: Training data is from 2017. Adolescent mental health profiles changed substantially post-COVID-19 pandemic, and the model has not been validated on more recent cohorts.</w:t>
      </w:r>
    </w:p>
    <w:p>
      <w:pPr>
        <w:numPr>
          <w:ilvl w:val="0"/>
          <w:numId w:val="1003"/>
        </w:numPr>
      </w:pPr>
      <w:r>
        <w:rPr>
          <w:b/>
          <w:bCs/>
        </w:rPr>
        <w:t xml:space="preserve">No SPIN instrument</w:t>
      </w:r>
      <w:r>
        <w:t xml:space="preserve">: SDQ and WEMWBS measure general emotional distress, not social-anxiety-specific symptoms. The model cannot distinguish social phobia from general anxiety disorder.</w:t>
      </w:r>
    </w:p>
    <w:p>
      <w:pPr>
        <w:numPr>
          <w:ilvl w:val="0"/>
          <w:numId w:val="1003"/>
        </w:numPr>
      </w:pPr>
      <w:r>
        <w:rPr>
          <w:b/>
          <w:bCs/>
        </w:rPr>
        <w:t xml:space="preserve">ICD-10 clinical threshold</w:t>
      </w:r>
      <w:r>
        <w:t xml:space="preserve">: The tool targets confirmed clinical-threshold diagnosis (2.0% prevalence). Sub-clinical social anxiety — affecting a much larger proportion of students — is classified as negative.</w:t>
      </w:r>
    </w:p>
    <w:p>
      <w:pPr>
        <w:numPr>
          <w:ilvl w:val="0"/>
          <w:numId w:val="1003"/>
        </w:numPr>
      </w:pPr>
      <w:r>
        <w:rPr>
          <w:b/>
          <w:bCs/>
        </w:rPr>
        <w:t xml:space="preserve">Fairness parity gap (0.143)</w:t>
      </w:r>
      <w:r>
        <w:t xml:space="preserve">: Recall for age 14–16 is 0.857. The gap exceeds 0.10 and requires clinical review before deployment.</w:t>
      </w:r>
    </w:p>
    <w:p>
      <w:pPr>
        <w:numPr>
          <w:ilvl w:val="0"/>
          <w:numId w:val="1003"/>
        </w:numPr>
      </w:pPr>
      <w:r>
        <w:rPr>
          <w:b/>
          <w:bCs/>
        </w:rPr>
        <w:t xml:space="preserve">SEN subgroup underpowered</w:t>
      </w:r>
      <w:r>
        <w:t xml:space="preserve">: Only 8 positive cases — recall estimate (0.875) carries wide confidence intervals.</w:t>
      </w:r>
    </w:p>
    <w:p>
      <w:pPr>
        <w:numPr>
          <w:ilvl w:val="0"/>
          <w:numId w:val="1003"/>
        </w:numPr>
      </w:pPr>
      <w:r>
        <w:rPr>
          <w:b/>
          <w:bCs/>
        </w:rPr>
        <w:t xml:space="preserve">Single survey wave</w:t>
      </w:r>
      <w:r>
        <w:t xml:space="preserve">: Trained on MHCYP 2017 only. External validation on a different year or school-recruited sample has not been conducted.</w:t>
      </w:r>
    </w:p>
    <w:p>
      <w:pPr>
        <w:numPr>
          <w:ilvl w:val="0"/>
          <w:numId w:val="1003"/>
        </w:numPr>
      </w:pPr>
      <w:r>
        <w:rPr>
          <w:b/>
          <w:bCs/>
        </w:rPr>
        <w:t xml:space="preserve">Ethnicity fairness unmeasurable</w:t>
      </w:r>
      <w:r>
        <w:t xml:space="preserve">: Structural incompleteness of</w:t>
      </w:r>
      <w:r>
        <w:t xml:space="preserve"> </w:t>
      </w:r>
      <w:r>
        <w:rPr>
          <w:rStyle w:val="VerbatimChar"/>
        </w:rPr>
        <w:t xml:space="preserve">ethnicity_bme</w:t>
      </w:r>
      <w:r>
        <w:t xml:space="preserve"> </w:t>
      </w:r>
      <w:r>
        <w:t xml:space="preserve">prevents a fairness audit by ethnicity.</w:t>
      </w:r>
    </w:p>
    <w:p>
      <w:pPr>
        <w:numPr>
          <w:ilvl w:val="0"/>
          <w:numId w:val="1003"/>
        </w:numPr>
      </w:pPr>
      <w:r>
        <w:rPr>
          <w:b/>
          <w:bCs/>
        </w:rPr>
        <w:t xml:space="preserve">Small calibration set</w:t>
      </w:r>
      <w:r>
        <w:t xml:space="preserve">: 12 positives in the calibration set — Platt Scaling sigmoid fitted on limited data; ECE estimates carry uncertainty.</w:t>
      </w:r>
    </w:p>
    <w:p>
      <w:pPr>
        <w:numPr>
          <w:ilvl w:val="0"/>
          <w:numId w:val="1003"/>
        </w:numPr>
      </w:pPr>
      <w:r>
        <w:rPr>
          <w:b/>
          <w:bCs/>
        </w:rPr>
        <w:t xml:space="preserve">No longitudinal validation</w:t>
      </w:r>
      <w:r>
        <w:t xml:space="preserve">: The model predicts cross-sectional diagnosis status, not future clinical presentation or treatment outcomes.</w:t>
      </w:r>
    </w:p>
    <w:p>
      <w:pPr>
        <w:numPr>
          <w:ilvl w:val="0"/>
          <w:numId w:val="1003"/>
        </w:numPr>
      </w:pPr>
      <w:r>
        <w:rPr>
          <w:b/>
          <w:bCs/>
        </w:rPr>
        <w:t xml:space="preserve">Low precision</w:t>
      </w:r>
      <w:r>
        <w:t xml:space="preserve">: PPV of 13.5% means most flagged students are non-cases. Schools must manage this carefully to avoid unnecessary distress.</w:t>
      </w:r>
    </w:p>
    <w:p>
      <w:r>
        <w:pict>
          <v:rect style="width:0;height:1.5pt" o:hralign="center" o:hrstd="t" o:hr="t"/>
        </w:pict>
      </w:r>
    </w:p>
    <w:bookmarkEnd w:id="35"/>
    <w:bookmarkStart w:id="36" w:name="viii.-conclusion"/>
    <w:p>
      <w:pPr>
        <w:pStyle w:val="Heading1"/>
      </w:pPr>
      <w:r>
        <w:rPr>
          <w:rStyle w:val="SectionNumber"/>
        </w:rPr>
        <w:t xml:space="preserve">9</w:t>
      </w:r>
      <w:r>
        <w:tab/>
      </w:r>
      <w:r>
        <w:t xml:space="preserve">VIII. Conclusion</w:t>
      </w:r>
    </w:p>
    <w:p>
      <w:pPr>
        <w:pStyle w:val="FirstParagraph"/>
      </w:pPr>
      <w:r>
        <w:t xml:space="preserve">This study demonstrates that a Logistic Regression classifier trained on SDQ and WEMWBS data from the MHCYP 2017 national survey can detect ICD-10 social phobia in secondary school students with cross-validated recall of 0.920 and test recall of 0.933. Platt Scaling calibration reduced the Expected Calibration Error from 0.243 to 0.005, producing probabilities that reflect the true 2% population base rate. The model’s decisions are transparent: three features reproduce 92.5% of predictions in a surrogate decision tree, and SHAP analysis confirms that dominant predictors align with established clinical understanding.</w:t>
      </w:r>
    </w:p>
    <w:p>
      <w:pPr>
        <w:pStyle w:val="BodyText"/>
      </w:pPr>
      <w:r>
        <w:t xml:space="preserve">The tool requires no new data collection and can be applied to routinely administered SDQ and WEMWBS surveys already in use in many English schools. With appropriate staff training, transparent communication to students and parents, and a structured referral pathway, it has the potential to shift social phobia identification from reactive to proactive — enabling earlier access to support for a condition that causes significant distress and impairs educational outcomes across the critical secondary school years.</w:t>
      </w:r>
    </w:p>
    <w:p>
      <w:pPr>
        <w:pStyle w:val="BodyText"/>
      </w:pPr>
      <w:r>
        <w:t xml:space="preserve">Future work should validate the tool on a prospective school-recruited sample with SPIN data, resolve the ethnicity fairness gap, investigate the 14–16 age group recall discrepancy, and update the model as more recent national wellbeing survey data becomes available.</w:t>
      </w:r>
    </w:p>
    <w:p>
      <w:r>
        <w:pict>
          <v:rect style="width:0;height:1.5pt" o:hralign="center" o:hrstd="t" o:hr="t"/>
        </w:pict>
      </w:r>
    </w:p>
    <w:bookmarkEnd w:id="36"/>
    <w:bookmarkStart w:id="41" w:name="appendix-a-model-card-summary"/>
    <w:p>
      <w:pPr>
        <w:pStyle w:val="Heading1"/>
      </w:pPr>
      <w:r>
        <w:rPr>
          <w:rStyle w:val="SectionNumber"/>
        </w:rPr>
        <w:t xml:space="preserve">10</w:t>
      </w:r>
      <w:r>
        <w:tab/>
      </w:r>
      <w:r>
        <w:t xml:space="preserve">Appendix A: Model Card Summary</w:t>
      </w:r>
    </w:p>
    <w:bookmarkStart w:id="37" w:name="a.1-model-identification"/>
    <w:p>
      <w:pPr>
        <w:pStyle w:val="Heading2"/>
      </w:pPr>
      <w:r>
        <w:rPr>
          <w:rStyle w:val="SectionNumber"/>
        </w:rPr>
        <w:t xml:space="preserve">10.1</w:t>
      </w:r>
      <w:r>
        <w:tab/>
      </w:r>
      <w:r>
        <w:t xml:space="preserve">A.1 Model Identification</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Attribute</w:t>
            </w:r>
          </w:p>
        </w:tc>
        <w:tc>
          <w:tcPr/>
          <w:p>
            <w:pPr>
              <w:pStyle w:val="Compact"/>
            </w:pPr>
            <w:r>
              <w:t xml:space="preserve">Value</w:t>
            </w:r>
          </w:p>
        </w:tc>
      </w:tr>
      <w:tr>
        <w:tc>
          <w:tcPr/>
          <w:p>
            <w:pPr>
              <w:pStyle w:val="Compact"/>
            </w:pPr>
            <w:r>
              <w:t xml:space="preserve">Model ID</w:t>
            </w:r>
          </w:p>
        </w:tc>
        <w:tc>
          <w:tcPr/>
          <w:p>
            <w:pPr>
              <w:pStyle w:val="Compact"/>
            </w:pPr>
            <w:r>
              <w:t xml:space="preserve">v5</w:t>
            </w:r>
          </w:p>
        </w:tc>
      </w:tr>
      <w:tr>
        <w:tc>
          <w:tcPr/>
          <w:p>
            <w:pPr>
              <w:pStyle w:val="Compact"/>
            </w:pPr>
            <w:r>
              <w:t xml:space="preserve">Algorithm</w:t>
            </w:r>
          </w:p>
        </w:tc>
        <w:tc>
          <w:tcPr/>
          <w:p>
            <w:pPr>
              <w:pStyle w:val="Compact"/>
            </w:pPr>
            <w:r>
              <w:t xml:space="preserve">LogisticRegression + Platt Scaling</w:t>
            </w:r>
          </w:p>
        </w:tc>
      </w:tr>
      <w:tr>
        <w:tc>
          <w:tcPr/>
          <w:p>
            <w:pPr>
              <w:pStyle w:val="Compact"/>
            </w:pPr>
            <w:r>
              <w:t xml:space="preserve">Status</w:t>
            </w:r>
          </w:p>
        </w:tc>
        <w:tc>
          <w:tcPr/>
          <w:p>
            <w:pPr>
              <w:pStyle w:val="Compact"/>
            </w:pPr>
            <w:r>
              <w:t xml:space="preserve">Active</w:t>
            </w:r>
          </w:p>
        </w:tc>
      </w:tr>
      <w:tr>
        <w:tc>
          <w:tcPr/>
          <w:p>
            <w:pPr>
              <w:pStyle w:val="Compact"/>
            </w:pPr>
            <w:r>
              <w:t xml:space="preserve">Date</w:t>
            </w:r>
          </w:p>
        </w:tc>
        <w:tc>
          <w:tcPr/>
          <w:p>
            <w:pPr>
              <w:pStyle w:val="Compact"/>
            </w:pPr>
            <w:r>
              <w:t xml:space="preserve">2026-07-31</w:t>
            </w:r>
          </w:p>
        </w:tc>
      </w:tr>
      <w:tr>
        <w:tc>
          <w:tcPr/>
          <w:p>
            <w:pPr>
              <w:pStyle w:val="Compact"/>
            </w:pPr>
            <w:r>
              <w:t xml:space="preserve">Dataset</w:t>
            </w:r>
          </w:p>
        </w:tc>
        <w:tc>
          <w:tcPr/>
          <w:p>
            <w:pPr>
              <w:pStyle w:val="Compact"/>
            </w:pPr>
            <w:r>
              <w:t xml:space="preserve">UKDA-8467 MHCYP 2017 (real_v1.csv)</w:t>
            </w:r>
          </w:p>
        </w:tc>
      </w:tr>
      <w:tr>
        <w:tc>
          <w:tcPr/>
          <w:p>
            <w:pPr>
              <w:pStyle w:val="Compact"/>
            </w:pPr>
            <w:r>
              <w:t xml:space="preserve">Threshold</w:t>
            </w:r>
          </w:p>
        </w:tc>
        <w:tc>
          <w:tcPr/>
          <w:p>
            <w:pPr>
              <w:pStyle w:val="Compact"/>
            </w:pPr>
            <w:r>
              <w:t xml:space="preserve">0.034</w:t>
            </w:r>
          </w:p>
        </w:tc>
      </w:tr>
    </w:tbl>
    <w:bookmarkEnd w:id="37"/>
    <w:bookmarkStart w:id="38" w:name="a.2-artefacts"/>
    <w:p>
      <w:pPr>
        <w:pStyle w:val="Heading2"/>
      </w:pPr>
      <w:r>
        <w:rPr>
          <w:rStyle w:val="SectionNumber"/>
        </w:rPr>
        <w:t xml:space="preserve">10.2</w:t>
      </w:r>
      <w:r>
        <w:tab/>
      </w:r>
      <w:r>
        <w:t xml:space="preserve">A.2 Artefacts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Artefact</w:t>
            </w:r>
          </w:p>
        </w:tc>
        <w:tc>
          <w:tcPr/>
          <w:p>
            <w:pPr>
              <w:pStyle w:val="Compact"/>
            </w:pPr>
            <w:r>
              <w:t xml:space="preserve">Path</w:t>
            </w:r>
          </w:p>
        </w:tc>
      </w:tr>
      <w:tr>
        <w:tc>
          <w:tcPr/>
          <w:p>
            <w:pPr>
              <w:pStyle w:val="Compact"/>
            </w:pPr>
            <w:r>
              <w:t xml:space="preserve">Calibrated model</w:t>
            </w:r>
          </w:p>
        </w:tc>
        <w:tc>
          <w:tcPr/>
          <w:p>
            <w:pPr>
              <w:pStyle w:val="Compact"/>
            </w:pPr>
            <w:r>
              <w:t xml:space="preserve">models/model_v5.pkl</w:t>
            </w:r>
          </w:p>
        </w:tc>
      </w:tr>
      <w:tr>
        <w:tc>
          <w:tcPr/>
          <w:p>
            <w:pPr>
              <w:pStyle w:val="Compact"/>
            </w:pPr>
            <w:r>
              <w:t xml:space="preserve">Fitted preprocessor</w:t>
            </w:r>
          </w:p>
        </w:tc>
        <w:tc>
          <w:tcPr/>
          <w:p>
            <w:pPr>
              <w:pStyle w:val="Compact"/>
            </w:pPr>
            <w:r>
              <w:t xml:space="preserve">models/preprocessor_v5.pkl</w:t>
            </w:r>
          </w:p>
        </w:tc>
      </w:tr>
      <w:tr>
        <w:tc>
          <w:tcPr/>
          <w:p>
            <w:pPr>
              <w:pStyle w:val="Compact"/>
            </w:pPr>
            <w:r>
              <w:t xml:space="preserve">SPIN imputer</w:t>
            </w:r>
          </w:p>
        </w:tc>
        <w:tc>
          <w:tcPr/>
          <w:p>
            <w:pPr>
              <w:pStyle w:val="Compact"/>
            </w:pPr>
            <w:r>
              <w:t xml:space="preserve">models/spin_imputer_v5.pkl</w:t>
            </w:r>
          </w:p>
        </w:tc>
      </w:tr>
      <w:tr>
        <w:tc>
          <w:tcPr/>
          <w:p>
            <w:pPr>
              <w:pStyle w:val="Compact"/>
            </w:pPr>
            <w:r>
              <w:t xml:space="preserve">Model registry</w:t>
            </w:r>
          </w:p>
        </w:tc>
        <w:tc>
          <w:tcPr/>
          <w:p>
            <w:pPr>
              <w:pStyle w:val="Compact"/>
            </w:pPr>
            <w:r>
              <w:t xml:space="preserve">config/model_registry.yaml</w:t>
            </w:r>
          </w:p>
        </w:tc>
      </w:tr>
      <w:tr>
        <w:tc>
          <w:tcPr/>
          <w:p>
            <w:pPr>
              <w:pStyle w:val="Compact"/>
            </w:pPr>
            <w:r>
              <w:t xml:space="preserve">SHAP values CSV</w:t>
            </w:r>
          </w:p>
        </w:tc>
        <w:tc>
          <w:tcPr/>
          <w:p>
            <w:pPr>
              <w:pStyle w:val="Compact"/>
            </w:pPr>
            <w:r>
              <w:t xml:space="preserve">reports/figures/shap_values.csv</w:t>
            </w:r>
          </w:p>
        </w:tc>
      </w:tr>
      <w:tr>
        <w:tc>
          <w:tcPr/>
          <w:p>
            <w:pPr>
              <w:pStyle w:val="Compact"/>
            </w:pPr>
            <w:r>
              <w:t xml:space="preserve">Fairness audit</w:t>
            </w:r>
          </w:p>
        </w:tc>
        <w:tc>
          <w:tcPr/>
          <w:p>
            <w:pPr>
              <w:pStyle w:val="Compact"/>
            </w:pPr>
            <w:r>
              <w:t xml:space="preserve">reports/figures/fairness_audit.csv</w:t>
            </w:r>
          </w:p>
        </w:tc>
      </w:tr>
      <w:tr>
        <w:tc>
          <w:tcPr/>
          <w:p>
            <w:pPr>
              <w:pStyle w:val="Compact"/>
            </w:pPr>
            <w:r>
              <w:t xml:space="preserve">Surrogate tree rules</w:t>
            </w:r>
          </w:p>
        </w:tc>
        <w:tc>
          <w:tcPr/>
          <w:p>
            <w:pPr>
              <w:pStyle w:val="Compact"/>
            </w:pPr>
            <w:r>
              <w:t xml:space="preserve">reports/figures/surrogate_tree_rules.txt</w:t>
            </w:r>
          </w:p>
        </w:tc>
      </w:tr>
    </w:tbl>
    <w:bookmarkEnd w:id="38"/>
    <w:bookmarkStart w:id="39" w:name="Xf1b98b3a2b100bad15cc741e4afa69f6d91ed12"/>
    <w:p>
      <w:pPr>
        <w:pStyle w:val="Heading2"/>
      </w:pPr>
      <w:r>
        <w:rPr>
          <w:rStyle w:val="SectionNumber"/>
        </w:rPr>
        <w:t xml:space="preserve">10.3</w:t>
      </w:r>
      <w:r>
        <w:tab/>
      </w:r>
      <w:r>
        <w:t xml:space="preserve">A.3 Risk Band Thresholds (Calibrated Probabilities)</w:t>
      </w:r>
    </w:p>
    <w:tbl>
      <w:tblPr>
        <w:tblStyle w:val="Table"/>
        <w:tblW w:type="pct" w:w="5000"/>
        <w:tblLayout w:type="fixed"/>
        <w:tblLook w:firstRow="1" w:lastRow="0" w:firstColumn="0" w:lastColumn="0" w:noHBand="0" w:noVBand="0" w:val="0020"/>
      </w:tblPr>
      <w:tblGrid>
        <w:gridCol w:w="1250"/>
        <w:gridCol w:w="2709"/>
        <w:gridCol w:w="3960"/>
      </w:tblGrid>
      <w:tr>
        <w:trPr>
          <w:tblHeader w:val="on"/>
        </w:trPr>
        <w:tc>
          <w:tcPr/>
          <w:p>
            <w:pPr>
              <w:pStyle w:val="Compact"/>
            </w:pPr>
            <w:r>
              <w:t xml:space="preserve">Band</w:t>
            </w:r>
          </w:p>
        </w:tc>
        <w:tc>
          <w:tcPr/>
          <w:p>
            <w:pPr>
              <w:pStyle w:val="Compact"/>
            </w:pPr>
            <w:r>
              <w:t xml:space="preserve">Probability</w:t>
            </w:r>
          </w:p>
        </w:tc>
        <w:tc>
          <w:tcPr/>
          <w:p>
            <w:pPr>
              <w:pStyle w:val="Compact"/>
            </w:pPr>
            <w:r>
              <w:t xml:space="preserve">Recommended Action</w:t>
            </w:r>
          </w:p>
        </w:tc>
      </w:tr>
      <w:tr>
        <w:tc>
          <w:tcPr/>
          <w:p>
            <w:pPr>
              <w:pStyle w:val="Compact"/>
            </w:pPr>
            <w:r>
              <w:t xml:space="preserve">Low</w:t>
            </w:r>
          </w:p>
        </w:tc>
        <w:tc>
          <w:tcPr/>
          <w:p>
            <w:pPr>
              <w:pStyle w:val="Compact"/>
            </w:pPr>
            <w:r>
              <w:t xml:space="preserve">&lt; 0.02</w:t>
            </w:r>
          </w:p>
        </w:tc>
        <w:tc>
          <w:tcPr/>
          <w:p>
            <w:pPr>
              <w:pStyle w:val="Compact"/>
            </w:pPr>
            <w:r>
              <w:t xml:space="preserve">No action — below population prevalence</w:t>
            </w:r>
          </w:p>
        </w:tc>
      </w:tr>
      <w:tr>
        <w:tc>
          <w:tcPr/>
          <w:p>
            <w:pPr>
              <w:pStyle w:val="Compact"/>
            </w:pPr>
            <w:r>
              <w:t xml:space="preserve">Moderate</w:t>
            </w:r>
          </w:p>
        </w:tc>
        <w:tc>
          <w:tcPr/>
          <w:p>
            <w:pPr>
              <w:pStyle w:val="Compact"/>
            </w:pPr>
            <w:r>
              <w:t xml:space="preserve">0.02–0.10</w:t>
            </w:r>
          </w:p>
        </w:tc>
        <w:tc>
          <w:tcPr/>
          <w:p>
            <w:pPr>
              <w:pStyle w:val="Compact"/>
            </w:pPr>
            <w:r>
              <w:t xml:space="preserve">Brief pastoral check-in conversation</w:t>
            </w:r>
          </w:p>
        </w:tc>
      </w:tr>
      <w:tr>
        <w:tc>
          <w:tcPr/>
          <w:p>
            <w:pPr>
              <w:pStyle w:val="Compact"/>
            </w:pPr>
            <w:r>
              <w:t xml:space="preserve">High</w:t>
            </w:r>
          </w:p>
        </w:tc>
        <w:tc>
          <w:tcPr/>
          <w:p>
            <w:pPr>
              <w:pStyle w:val="Compact"/>
            </w:pPr>
            <w:r>
              <w:t xml:space="preserve">≥ 0.10</w:t>
            </w:r>
          </w:p>
        </w:tc>
        <w:tc>
          <w:tcPr/>
          <w:p>
            <w:pPr>
              <w:pStyle w:val="Compact"/>
            </w:pPr>
            <w:r>
              <w:t xml:space="preserve">Discuss with SEMH team; consider CAMHS referral if concerns confirmed</w:t>
            </w:r>
          </w:p>
        </w:tc>
      </w:tr>
    </w:tbl>
    <w:bookmarkEnd w:id="39"/>
    <w:bookmarkStart w:id="40" w:name="a.4-intended-and-prohibited-uses"/>
    <w:p>
      <w:pPr>
        <w:pStyle w:val="Heading2"/>
      </w:pPr>
      <w:r>
        <w:rPr>
          <w:rStyle w:val="SectionNumber"/>
        </w:rPr>
        <w:t xml:space="preserve">10.4</w:t>
      </w:r>
      <w:r>
        <w:tab/>
      </w:r>
      <w:r>
        <w:t xml:space="preserve">A.4 Intended and Prohibited Uses</w:t>
      </w:r>
    </w:p>
    <w:p>
      <w:pPr>
        <w:pStyle w:val="FirstParagraph"/>
      </w:pPr>
      <w:r>
        <w:rPr>
          <w:b/>
          <w:bCs/>
        </w:rPr>
        <w:t xml:space="preserve">Intended use:</w:t>
      </w:r>
      <w:r>
        <w:t xml:space="preserve"> </w:t>
      </w:r>
      <w:r>
        <w:t xml:space="preserve">Population-level screening of social phobia risk in secondary school students (aged 11–18) in England, to support pastoral and SEMH follow-up conversations.</w:t>
      </w:r>
    </w:p>
    <w:p>
      <w:pPr>
        <w:pStyle w:val="BodyText"/>
      </w:pPr>
      <w:r>
        <w:rPr>
          <w:b/>
          <w:bCs/>
        </w:rPr>
        <w:t xml:space="preserve">Prohibited uses:</w:t>
      </w:r>
      <w:r>
        <w:t xml:space="preserve"> </w:t>
      </w:r>
      <w:r>
        <w:t xml:space="preserve">Clinical diagnosis; exclusion or disciplinary decisions based solely on model output; use outside the age range 11–18 or outside an English secondary school context; any application where the output is not reviewed by a qualified human before action is taken.</w:t>
      </w:r>
    </w:p>
    <w:p>
      <w:r>
        <w:pict>
          <v:rect style="width:0;height:1.5pt" o:hralign="center" o:hrstd="t" o:hr="t"/>
        </w:pict>
      </w:r>
    </w:p>
    <w:bookmarkEnd w:id="40"/>
    <w:bookmarkEnd w:id="41"/>
    <w:bookmarkStart w:id="42" w:name="references"/>
    <w:p>
      <w:pPr>
        <w:pStyle w:val="Heading1"/>
      </w:pPr>
      <w:r>
        <w:rPr>
          <w:rStyle w:val="SectionNumber"/>
        </w:rPr>
        <w:t xml:space="preserve">11</w:t>
      </w:r>
      <w:r>
        <w:tab/>
      </w:r>
      <w:r>
        <w:t xml:space="preserve">References</w:t>
      </w:r>
    </w:p>
    <w:p>
      <w:pPr>
        <w:pStyle w:val="FirstParagraph"/>
      </w:pPr>
      <w:r>
        <w:t xml:space="preserve">[1] A. S. Morrison and R. G. Heimberg,</w:t>
      </w:r>
      <w:r>
        <w:t xml:space="preserve"> </w:t>
      </w:r>
      <w:r>
        <w:t xml:space="preserve">“Social anxiety and social anxiety disorder,”</w:t>
      </w:r>
      <w:r>
        <w:t xml:space="preserve"> </w:t>
      </w:r>
      <w:r>
        <w:rPr>
          <w:i/>
          <w:iCs/>
        </w:rPr>
        <w:t xml:space="preserve">Annual Review of Clinical Psychology</w:t>
      </w:r>
      <w:r>
        <w:t xml:space="preserve">, vol. 9, no. 1, pp. 249–274, 2013.</w:t>
      </w:r>
    </w:p>
    <w:p>
      <w:pPr>
        <w:pStyle w:val="BodyText"/>
      </w:pPr>
      <w:r>
        <w:t xml:space="preserve">[2] NICE,</w:t>
      </w:r>
      <w:r>
        <w:t xml:space="preserve"> </w:t>
      </w:r>
      <w:r>
        <w:rPr>
          <w:i/>
          <w:iCs/>
        </w:rPr>
        <w:t xml:space="preserve">Social anxiety disorder: recognition, assessment and treatment</w:t>
      </w:r>
      <w:r>
        <w:t xml:space="preserve">, Clinical guideline CG159, London: National Institute for Health and Care Excellence, 2013.</w:t>
      </w:r>
    </w:p>
    <w:p>
      <w:pPr>
        <w:pStyle w:val="BodyText"/>
      </w:pPr>
      <w:r>
        <w:t xml:space="preserve">[3] G. Russell and P. Topham,</w:t>
      </w:r>
      <w:r>
        <w:t xml:space="preserve"> </w:t>
      </w:r>
      <w:r>
        <w:t xml:space="preserve">“The impact of social anxiety on student learning and well-being in higher education,”</w:t>
      </w:r>
      <w:r>
        <w:t xml:space="preserve"> </w:t>
      </w:r>
      <w:r>
        <w:rPr>
          <w:i/>
          <w:iCs/>
        </w:rPr>
        <w:t xml:space="preserve">Journal of Mental Health</w:t>
      </w:r>
      <w:r>
        <w:t xml:space="preserve">, vol. 21, no. 4, pp. 375–385, 2012.</w:t>
      </w:r>
    </w:p>
    <w:p>
      <w:pPr>
        <w:pStyle w:val="BodyText"/>
      </w:pPr>
      <w:r>
        <w:t xml:space="preserve">[4] M. Abinaya and G. Vadivu,</w:t>
      </w:r>
      <w:r>
        <w:t xml:space="preserve"> </w:t>
      </w:r>
      <w:r>
        <w:t xml:space="preserve">“Identification of social anxiety in high school: A machine learning approaches to real-time analysis of student characteristics,”</w:t>
      </w:r>
      <w:r>
        <w:t xml:space="preserve"> </w:t>
      </w:r>
      <w:r>
        <w:rPr>
          <w:i/>
          <w:iCs/>
        </w:rPr>
        <w:t xml:space="preserve">IEEE Access</w:t>
      </w:r>
      <w:r>
        <w:t xml:space="preserve">, vol. 12, pp. 77932–77946, 2024.</w:t>
      </w:r>
    </w:p>
    <w:p>
      <w:pPr>
        <w:pStyle w:val="BodyText"/>
      </w:pPr>
      <w:r>
        <w:t xml:space="preserve">[5] E. G. Pintelas, T. Kotsilieris, I. E. Livieris, and P. Pintelas,</w:t>
      </w:r>
      <w:r>
        <w:t xml:space="preserve"> </w:t>
      </w:r>
      <w:r>
        <w:t xml:space="preserve">“A review of machine learning prediction methods for anxiety disorders,”</w:t>
      </w:r>
      <w:r>
        <w:t xml:space="preserve"> </w:t>
      </w:r>
      <w:r>
        <w:t xml:space="preserve">in</w:t>
      </w:r>
      <w:r>
        <w:t xml:space="preserve"> </w:t>
      </w:r>
      <w:r>
        <w:rPr>
          <w:i/>
          <w:iCs/>
        </w:rPr>
        <w:t xml:space="preserve">Proc. 8th Int. Conf. Software Development &amp; Technologies for Enhancing Accessibility</w:t>
      </w:r>
      <w:r>
        <w:t xml:space="preserve">, 2018, pp. 8–15.</w:t>
      </w:r>
    </w:p>
    <w:p>
      <w:pPr>
        <w:pStyle w:val="BodyText"/>
      </w:pPr>
      <w:r>
        <w:t xml:space="preserve">[6] B.-H. Kim, M.-K. Kim, H.-J. Jo, and J.-J. Kim,</w:t>
      </w:r>
      <w:r>
        <w:t xml:space="preserve"> </w:t>
      </w:r>
      <w:r>
        <w:t xml:space="preserve">“Predicting social anxiety in young adults with machine learning of resting-state brain functional radiomic features,”</w:t>
      </w:r>
      <w:r>
        <w:t xml:space="preserve"> </w:t>
      </w:r>
      <w:r>
        <w:rPr>
          <w:i/>
          <w:iCs/>
        </w:rPr>
        <w:t xml:space="preserve">Scientific Reports</w:t>
      </w:r>
      <w:r>
        <w:t xml:space="preserve">, vol. 12, no. 1, pp. 1–11, 2022.</w:t>
      </w:r>
    </w:p>
    <w:p>
      <w:pPr>
        <w:pStyle w:val="BodyText"/>
      </w:pPr>
      <w:r>
        <w:t xml:space="preserve">[7] A. V. Chavanne,</w:t>
      </w:r>
      <w:r>
        <w:t xml:space="preserve"> </w:t>
      </w:r>
      <w:r>
        <w:t xml:space="preserve">“Anxiety onset in adolescents: A machine-learning prediction,”</w:t>
      </w:r>
      <w:r>
        <w:t xml:space="preserve"> </w:t>
      </w:r>
      <w:r>
        <w:rPr>
          <w:i/>
          <w:iCs/>
        </w:rPr>
        <w:t xml:space="preserve">Molecular Psychiatry</w:t>
      </w:r>
      <w:r>
        <w:t xml:space="preserve">, vol. 28, no. 2, pp. 639–646, 2023.</w:t>
      </w:r>
    </w:p>
    <w:p>
      <w:pPr>
        <w:pStyle w:val="BodyText"/>
      </w:pPr>
      <w:r>
        <w:t xml:space="preserve">[8] A. Ahmed et al.,</w:t>
      </w:r>
      <w:r>
        <w:t xml:space="preserve"> </w:t>
      </w:r>
      <w:r>
        <w:t xml:space="preserve">“Machine learning models to detect anxiety and depression through social media: A scoping review,”</w:t>
      </w:r>
      <w:r>
        <w:t xml:space="preserve"> </w:t>
      </w:r>
      <w:r>
        <w:rPr>
          <w:i/>
          <w:iCs/>
        </w:rPr>
        <w:t xml:space="preserve">Computer Methods and Programs in Biomedicine Update</w:t>
      </w:r>
      <w:r>
        <w:t xml:space="preserve">, vol. 2, 2022.</w:t>
      </w:r>
    </w:p>
    <w:p>
      <w:pPr>
        <w:pStyle w:val="BodyText"/>
      </w:pPr>
      <w:r>
        <w:t xml:space="preserve">[9] K. L. H. Carpenter, P. Sprechmann, R. Calderbank, G. Sapiro, and H. L. Egger,</w:t>
      </w:r>
      <w:r>
        <w:t xml:space="preserve"> </w:t>
      </w:r>
      <w:r>
        <w:t xml:space="preserve">“Quantifying risk for anxiety disorders in preschool children: A machine learning approach,”</w:t>
      </w:r>
      <w:r>
        <w:t xml:space="preserve"> </w:t>
      </w:r>
      <w:r>
        <w:rPr>
          <w:i/>
          <w:iCs/>
        </w:rPr>
        <w:t xml:space="preserve">PLoS ONE</w:t>
      </w:r>
      <w:r>
        <w:t xml:space="preserve">, vol. 11, no. 11, 2016.</w:t>
      </w:r>
    </w:p>
    <w:p>
      <w:pPr>
        <w:pStyle w:val="BodyText"/>
      </w:pPr>
      <w:r>
        <w:t xml:space="preserve">[10] G. Russell and P. Topham,</w:t>
      </w:r>
      <w:r>
        <w:t xml:space="preserve"> </w:t>
      </w:r>
      <w:r>
        <w:t xml:space="preserve">“The impact of social anxiety on student learning and well-being in higher education,”</w:t>
      </w:r>
      <w:r>
        <w:t xml:space="preserve"> </w:t>
      </w:r>
      <w:r>
        <w:rPr>
          <w:i/>
          <w:iCs/>
        </w:rPr>
        <w:t xml:space="preserve">Journal of Mental Health</w:t>
      </w:r>
      <w:r>
        <w:t xml:space="preserve">, vol. 21, no. 4, pp. 375–385, 2012.</w:t>
      </w:r>
    </w:p>
    <w:p>
      <w:pPr>
        <w:pStyle w:val="BodyText"/>
      </w:pPr>
      <w:r>
        <w:t xml:space="preserve">[11] J. Cohen,</w:t>
      </w:r>
      <w:r>
        <w:t xml:space="preserve"> </w:t>
      </w:r>
      <w:r>
        <w:rPr>
          <w:i/>
          <w:iCs/>
        </w:rPr>
        <w:t xml:space="preserve">Statistical Power Analysis for the Behavioral Sciences</w:t>
      </w:r>
      <w:r>
        <w:t xml:space="preserve">, 2nd ed. Hillsdale, NJ: Lawrence Erlbaum Associates, 1988.</w:t>
      </w:r>
    </w:p>
    <w:p>
      <w:pPr>
        <w:pStyle w:val="BodyText"/>
      </w:pPr>
      <w:r>
        <w:t xml:space="preserve">[12] N. V. Chawla, K. W. Bowyer, L. O. Hall, and W. P. Kegelmeyer,</w:t>
      </w:r>
      <w:r>
        <w:t xml:space="preserve"> </w:t>
      </w:r>
      <w:r>
        <w:t xml:space="preserve">“SMOTE: Synthetic minority over-sampling technique,”</w:t>
      </w:r>
      <w:r>
        <w:t xml:space="preserve"> </w:t>
      </w:r>
      <w:r>
        <w:rPr>
          <w:i/>
          <w:iCs/>
        </w:rPr>
        <w:t xml:space="preserve">Journal of Artificial Intelligence Research</w:t>
      </w:r>
      <w:r>
        <w:t xml:space="preserve">, vol. 16, pp. 321–357, 2002.</w:t>
      </w:r>
    </w:p>
    <w:p>
      <w:pPr>
        <w:pStyle w:val="BodyText"/>
      </w:pPr>
      <w:r>
        <w:t xml:space="preserve">[13] T. Akiba, S. Sano, T. Yanase, T. Ohta, and M. Koyama,</w:t>
      </w:r>
      <w:r>
        <w:t xml:space="preserve"> </w:t>
      </w:r>
      <w:r>
        <w:t xml:space="preserve">“Optuna: A next-generation hyperparameter optimization framework,”</w:t>
      </w:r>
      <w:r>
        <w:t xml:space="preserve"> </w:t>
      </w:r>
      <w:r>
        <w:t xml:space="preserve">in</w:t>
      </w:r>
      <w:r>
        <w:t xml:space="preserve"> </w:t>
      </w:r>
      <w:r>
        <w:rPr>
          <w:i/>
          <w:iCs/>
        </w:rPr>
        <w:t xml:space="preserve">Proc. ACM SIGKDD</w:t>
      </w:r>
      <w:r>
        <w:t xml:space="preserve">, 2019, pp. 2623–2631.</w:t>
      </w:r>
    </w:p>
    <w:p>
      <w:pPr>
        <w:pStyle w:val="BodyText"/>
      </w:pPr>
      <w:r>
        <w:t xml:space="preserve">[14] J. Platt,</w:t>
      </w:r>
      <w:r>
        <w:t xml:space="preserve"> </w:t>
      </w:r>
      <w:r>
        <w:t xml:space="preserve">“Probabilistic outputs for support vector machines and comparisons to regularized likelihood methods,”</w:t>
      </w:r>
      <w:r>
        <w:t xml:space="preserve"> </w:t>
      </w:r>
      <w:r>
        <w:t xml:space="preserve">in</w:t>
      </w:r>
      <w:r>
        <w:t xml:space="preserve"> </w:t>
      </w:r>
      <w:r>
        <w:rPr>
          <w:i/>
          <w:iCs/>
        </w:rPr>
        <w:t xml:space="preserve">Advances in Large Margin Classifiers</w:t>
      </w:r>
      <w:r>
        <w:t xml:space="preserve">, 1999, pp. 61–74.</w:t>
      </w:r>
    </w:p>
    <w:p>
      <w:pPr>
        <w:pStyle w:val="BodyText"/>
      </w:pPr>
      <w:r>
        <w:t xml:space="preserve">[15] S. M. Lundberg and S.-I. Lee,</w:t>
      </w:r>
      <w:r>
        <w:t xml:space="preserve"> </w:t>
      </w:r>
      <w:r>
        <w:t xml:space="preserve">“A unified approach to interpreting model predictions,”</w:t>
      </w:r>
      <w:r>
        <w:t xml:space="preserve"> </w:t>
      </w:r>
      <w:r>
        <w:rPr>
          <w:i/>
          <w:iCs/>
        </w:rPr>
        <w:t xml:space="preserve">Advances in Neural Information Processing Systems</w:t>
      </w:r>
      <w:r>
        <w:t xml:space="preserve">, vol. 30, 2017.</w:t>
      </w:r>
    </w:p>
    <w:p>
      <w:pPr>
        <w:pStyle w:val="BodyText"/>
      </w:pPr>
      <w:r>
        <w:t xml:space="preserve">[16] M. Mitchell et al.,</w:t>
      </w:r>
      <w:r>
        <w:t xml:space="preserve"> </w:t>
      </w:r>
      <w:r>
        <w:t xml:space="preserve">“Model cards for model reporting,”</w:t>
      </w:r>
      <w:r>
        <w:t xml:space="preserve"> </w:t>
      </w:r>
      <w:r>
        <w:t xml:space="preserve">in</w:t>
      </w:r>
      <w:r>
        <w:t xml:space="preserve"> </w:t>
      </w:r>
      <w:r>
        <w:rPr>
          <w:i/>
          <w:iCs/>
        </w:rPr>
        <w:t xml:space="preserve">Proc. ACM FAccT</w:t>
      </w:r>
      <w:r>
        <w:t xml:space="preserve">, 2019, pp. 220–229.</w:t>
      </w:r>
    </w:p>
    <w:p>
      <w:pPr>
        <w:pStyle w:val="BodyText"/>
      </w:pPr>
      <w:r>
        <w:t xml:space="preserve">[17] I. Morales-Muñoz et al.,</w:t>
      </w:r>
      <w:r>
        <w:t xml:space="preserve"> </w:t>
      </w:r>
      <w:r>
        <w:t xml:space="preserve">“Anxiety disorders across middle childhood and early adolescence in a UK population-based cohort,”</w:t>
      </w:r>
      <w:r>
        <w:t xml:space="preserve"> </w:t>
      </w:r>
      <w:r>
        <w:rPr>
          <w:i/>
          <w:iCs/>
        </w:rPr>
        <w:t xml:space="preserve">JCPP Advances</w:t>
      </w:r>
      <w:r>
        <w:t xml:space="preserve">, vol. 2, no. 2, 2022.</w:t>
      </w:r>
    </w:p>
    <w:p>
      <w:pPr>
        <w:pStyle w:val="BodyText"/>
      </w:pPr>
      <w:r>
        <w:t xml:space="preserve">[18] S. M. Turner, D. C. Beidel, and R. M. Townsley,</w:t>
      </w:r>
      <w:r>
        <w:t xml:space="preserve"> </w:t>
      </w:r>
      <w:r>
        <w:t xml:space="preserve">“Social phobia: Relationship to shyness,”</w:t>
      </w:r>
      <w:r>
        <w:t xml:space="preserve"> </w:t>
      </w:r>
      <w:r>
        <w:rPr>
          <w:i/>
          <w:iCs/>
        </w:rPr>
        <w:t xml:space="preserve">Behaviour Research and Therapy</w:t>
      </w:r>
      <w:r>
        <w:t xml:space="preserve">, vol. 28, no. 6, pp. 497–505, 1990.</w:t>
      </w:r>
    </w:p>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Deploying Machine Learning to Detect Social Phobia in UK School Students: A Validated Screening Tool Using Routine Wellbeing Data</dc:title>
  <dc:creator>Mageswaran — Social Phobia Detection Research Project</dc:creator>
  <cp:keywords/>
  <dcterms:created xsi:type="dcterms:W3CDTF">2026-07-31T21:34:50Z</dcterms:created>
  <dcterms:modified xsi:type="dcterms:W3CDTF">2026-07-31T21:34:50Z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2026</vt:lpwstr>
  </property>
</Properties>
</file>