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480"/>
        <w:jc w:val="center"/>
        <w:rPr/>
      </w:pPr>
    </w:p>
    <w:p>
      <w:pPr>
        <w:pStyle w:val="style0"/>
        <w:spacing w:before="0" w:after="120"/>
        <w:jc w:val="center"/>
        <w:rPr/>
      </w:pPr>
      <w:r>
        <w:rPr>
          <w:rFonts w:ascii="Arial" w:cs="Arial" w:eastAsia="Arial" w:hAnsi="Arial"/>
          <w:b/>
          <w:bCs/>
          <w:color w:val="004d2c"/>
          <w:sz w:val="36"/>
          <w:szCs w:val="36"/>
        </w:rPr>
        <w:t>DEVELOPING AN INCLUSIVE PROSPERITY INDEX FOR UGANDA</w:t>
      </w:r>
    </w:p>
    <w:p>
      <w:pPr>
        <w:pStyle w:val="style0"/>
        <w:spacing w:before="0" w:after="120"/>
        <w:jc w:val="center"/>
        <w:rPr/>
      </w:pPr>
      <w:r>
        <w:rPr>
          <w:rFonts w:ascii="Arial" w:cs="Arial" w:eastAsia="Arial" w:hAnsi="Arial"/>
          <w:b/>
          <w:bCs/>
          <w:color w:val="c5940a"/>
          <w:sz w:val="26"/>
          <w:szCs w:val="26"/>
        </w:rPr>
        <w:t>Using Uganda National Household Survey (UNHS) 2019/2020 Data</w:t>
      </w:r>
    </w:p>
    <w:p>
      <w:pPr>
        <w:pStyle w:val="style0"/>
        <w:spacing w:before="0" w:after="40"/>
        <w:jc w:val="center"/>
        <w:rPr/>
      </w:pPr>
      <w:r>
        <w:rPr>
          <w:rFonts w:ascii="Arial" w:cs="Arial" w:eastAsia="Arial" w:hAnsi="Arial"/>
          <w:color w:val="4a5e52"/>
          <w:sz w:val="22"/>
          <w:szCs w:val="22"/>
        </w:rPr>
        <w:t>Leveraging Statistical Innovation, Machine Learning, and Evidence-Based Analytics</w:t>
      </w:r>
    </w:p>
    <w:p>
      <w:pPr>
        <w:pStyle w:val="style0"/>
        <w:spacing w:before="0" w:after="480"/>
        <w:jc w:val="center"/>
        <w:rPr/>
      </w:pPr>
      <w:r>
        <w:rPr>
          <w:rFonts w:ascii="Arial" w:cs="Arial" w:eastAsia="Arial" w:hAnsi="Arial"/>
          <w:color w:val="4a5e52"/>
          <w:sz w:val="22"/>
          <w:szCs w:val="22"/>
        </w:rPr>
        <w:t>for a Just, Inclusive, and Prosperous Society</w:t>
      </w:r>
    </w:p>
    <w:p>
      <w:pPr>
        <w:pStyle w:val="style0"/>
        <w:pBdr>
          <w:top w:val="single" w:sz="6" w:space="1" w:color="004d2c"/>
        </w:pBdr>
        <w:spacing w:before="0" w:after="240"/>
        <w:jc w:val="center"/>
        <w:rPr/>
      </w:pPr>
    </w:p>
    <w:p>
      <w:pPr>
        <w:pStyle w:val="style0"/>
        <w:spacing w:before="0" w:after="40"/>
        <w:jc w:val="center"/>
        <w:rPr/>
      </w:pPr>
      <w:r>
        <w:rPr>
          <w:rFonts w:ascii="Arial" w:cs="Arial" w:eastAsia="Arial" w:hAnsi="Arial"/>
          <w:color w:val="666666"/>
          <w:sz w:val="22"/>
          <w:szCs w:val="22"/>
        </w:rPr>
        <w:t>Prepared for:</w:t>
      </w:r>
    </w:p>
    <w:p>
      <w:pPr>
        <w:pStyle w:val="style0"/>
        <w:spacing w:before="0" w:after="240"/>
        <w:jc w:val="center"/>
        <w:rPr/>
      </w:pPr>
      <w:r>
        <w:rPr>
          <w:rFonts w:ascii="Arial" w:cs="Arial" w:eastAsia="Arial" w:hAnsi="Arial"/>
          <w:b/>
          <w:bCs/>
          <w:color w:val="004d2c"/>
          <w:sz w:val="24"/>
          <w:szCs w:val="24"/>
        </w:rPr>
        <w:t>African Statistics Day 202</w:t>
      </w:r>
      <w:r>
        <w:rPr>
          <w:rFonts w:ascii="Arial" w:cs="Arial" w:eastAsia="Arial" w:hAnsi="Arial"/>
          <w:b/>
          <w:bCs/>
          <w:color w:val="004d2c"/>
          <w:sz w:val="24"/>
          <w:szCs w:val="24"/>
          <w:lang w:val="en-US"/>
        </w:rPr>
        <w:t>5</w:t>
      </w:r>
    </w:p>
    <w:p>
      <w:pPr>
        <w:pStyle w:val="style0"/>
        <w:spacing w:before="0" w:after="40"/>
        <w:jc w:val="center"/>
        <w:rPr/>
      </w:pPr>
      <w:r>
        <w:rPr>
          <w:rFonts w:ascii="Arial" w:cs="Arial" w:eastAsia="Arial" w:hAnsi="Arial"/>
          <w:sz w:val="22"/>
          <w:szCs w:val="22"/>
        </w:rPr>
        <w:t>Data Source: Uganda National Household Survey (UNHS) 2019/2020</w:t>
      </w:r>
    </w:p>
    <w:p>
      <w:pPr>
        <w:pStyle w:val="style0"/>
        <w:spacing w:before="0" w:after="40"/>
        <w:jc w:val="center"/>
        <w:rPr/>
      </w:pPr>
      <w:r>
        <w:rPr>
          <w:rFonts w:ascii="Arial" w:cs="Arial" w:eastAsia="Arial" w:hAnsi="Arial"/>
          <w:sz w:val="22"/>
          <w:szCs w:val="22"/>
        </w:rPr>
        <w:t>Uganda Bureau of Statistics (UBOS)</w:t>
      </w:r>
    </w:p>
    <w:p>
      <w:pPr>
        <w:pStyle w:val="style0"/>
        <w:spacing w:before="0" w:after="480"/>
        <w:jc w:val="center"/>
        <w:rPr/>
      </w:pPr>
      <w:r>
        <w:rPr>
          <w:rFonts w:ascii="Arial" w:cs="Arial" w:eastAsia="Arial" w:hAnsi="Arial"/>
          <w:sz w:val="22"/>
          <w:szCs w:val="22"/>
        </w:rPr>
        <w:t>Unit of Analysis: Household</w:t>
      </w:r>
    </w:p>
    <w:p>
      <w:pPr>
        <w:pStyle w:val="style0"/>
        <w:rPr/>
      </w:pPr>
      <w:r>
        <w:br/>
      </w:r>
      <w:r>
        <w:br w:type="page"/>
      </w:r>
    </w:p>
    <w:p>
      <w:pPr>
        <w:pStyle w:val="style4097"/>
        <w:spacing w:before="360" w:after="160"/>
        <w:rPr/>
      </w:pPr>
      <w:r>
        <w:rPr>
          <w:rFonts w:ascii="Arial" w:cs="Arial" w:eastAsia="Arial" w:hAnsi="Arial"/>
          <w:b/>
          <w:bCs/>
          <w:color w:val="004d2c"/>
          <w:sz w:val="32"/>
          <w:szCs w:val="32"/>
        </w:rPr>
        <w:t>ABSTRACT</w:t>
      </w:r>
    </w:p>
    <w:p>
      <w:pPr>
        <w:pStyle w:val="style0"/>
        <w:spacing w:before="80" w:after="80" w:lineRule="auto" w:line="336"/>
        <w:jc w:val="both"/>
        <w:rPr/>
      </w:pPr>
      <w:r>
        <w:rPr>
          <w:rFonts w:ascii="Arial" w:cs="Arial" w:eastAsia="Arial" w:hAnsi="Arial"/>
          <w:sz w:val="22"/>
          <w:szCs w:val="22"/>
        </w:rPr>
        <w:t>This paper presents the conceptual framework, methodological design, and expected contributions of a study developing the Inclusive Prosperity Index (IPI) for Uganda using the Uganda National Household Survey (UNHS) 2019/2020 dataset. Traditional income-based welfare measures, such as per capita consumption expenditure and the poverty headcount ratio, inadequately capture the full spectrum of household wellbeing. Informed by the African Statistics Day 2025 theme on statistical innovation for inclusive development, this study integrates five dimensions of household prosperity — Economic Wellbeing, Education, Housing and Living Standards, Digital Inclusion, and Health and Social Inclusion — into a composite index constructed using Principal Component Analysis (PCA). The study further applies classical econometric methods (multiple regression, logistic regression, ANOVA, chi-square tests) and cutting-edge machine learning algorithms (Random Forest and XGBoost) to identify statistically significant determinants and predict household prosperity levels. A rigorous six-layer robustness and sensitivity analysis framework ensures the reliability and validity of all findings. Outputs include national and regional IPI scores, poverty profiles, predictive models with feature importance rankings, and an interactive Power BI dashboard designed for evidence-based policy communication. The study demonstrates how the integration of statistical innovation, econometric rigour, and machine learning can produce actionable intelligence for targeting social interventions, reducing inequality, and promoting inclusive prosperity in Uganda and beyond.</w:t>
      </w:r>
    </w:p>
    <w:p>
      <w:pPr>
        <w:pStyle w:val="style0"/>
        <w:spacing w:before="0" w:after="80"/>
        <w:rPr/>
      </w:pPr>
    </w:p>
    <w:p>
      <w:pPr>
        <w:pStyle w:val="style0"/>
        <w:spacing w:before="80" w:after="240"/>
        <w:rPr/>
      </w:pPr>
      <w:r>
        <w:rPr>
          <w:rFonts w:ascii="Arial" w:cs="Arial" w:eastAsia="Arial" w:hAnsi="Arial"/>
          <w:b/>
          <w:bCs/>
          <w:sz w:val="22"/>
          <w:szCs w:val="22"/>
        </w:rPr>
        <w:t xml:space="preserve">Keywords: </w:t>
      </w:r>
      <w:r>
        <w:rPr>
          <w:rFonts w:ascii="Arial" w:cs="Arial" w:eastAsia="Arial" w:hAnsi="Arial"/>
          <w:sz w:val="22"/>
          <w:szCs w:val="22"/>
        </w:rPr>
        <w:t>Inclusive Prosperity Index, Uganda, UNHS, Principal Component Analysis, Machine Learning, XGBoost, Random Forest, Household Welfare, Socioeconomic Determinants, African Statistics Day 202</w:t>
      </w:r>
      <w:r>
        <w:rPr>
          <w:rFonts w:ascii="Arial" w:cs="Arial" w:eastAsia="Arial" w:hAnsi="Arial"/>
          <w:sz w:val="22"/>
          <w:szCs w:val="22"/>
          <w:lang w:val="en-US"/>
        </w:rPr>
        <w:t>6</w:t>
      </w:r>
    </w:p>
    <w:p>
      <w:pPr>
        <w:pStyle w:val="style0"/>
        <w:rPr/>
      </w:pPr>
      <w:r>
        <w:br/>
      </w:r>
      <w:r>
        <w:br w:type="page"/>
      </w:r>
    </w:p>
    <w:p>
      <w:pPr>
        <w:pStyle w:val="style4097"/>
        <w:spacing w:before="360" w:after="160"/>
        <w:rPr/>
      </w:pPr>
      <w:r>
        <w:rPr>
          <w:rFonts w:ascii="Arial" w:cs="Arial" w:eastAsia="Arial" w:hAnsi="Arial"/>
          <w:b/>
          <w:bCs/>
          <w:color w:val="004d2c"/>
          <w:sz w:val="32"/>
          <w:szCs w:val="32"/>
        </w:rPr>
        <w:t>1. INTRODUCTION</w:t>
      </w:r>
    </w:p>
    <w:p>
      <w:pPr>
        <w:pStyle w:val="style4098"/>
        <w:spacing w:before="240" w:after="120"/>
        <w:rPr/>
      </w:pPr>
      <w:r>
        <w:rPr>
          <w:rFonts w:ascii="Arial" w:cs="Arial" w:eastAsia="Arial" w:hAnsi="Arial"/>
          <w:b/>
          <w:bCs/>
          <w:color w:val="004d2c"/>
          <w:sz w:val="26"/>
          <w:szCs w:val="26"/>
        </w:rPr>
        <w:t>1.1 Background and Motivation</w:t>
      </w:r>
    </w:p>
    <w:p>
      <w:pPr>
        <w:pStyle w:val="style0"/>
        <w:spacing w:before="80" w:after="80" w:lineRule="auto" w:line="336"/>
        <w:jc w:val="both"/>
        <w:rPr/>
      </w:pPr>
      <w:r>
        <w:rPr>
          <w:rFonts w:ascii="Arial" w:cs="Arial" w:eastAsia="Arial" w:hAnsi="Arial"/>
          <w:sz w:val="22"/>
          <w:szCs w:val="22"/>
        </w:rPr>
        <w:t>The imperative to measure human wellbeing comprehensively has gained considerable momentum in global development discourse. The persistent reliance on GDP per capita and monetary poverty lines as proxies for societal progress has been widely critiqued for masking structural inequalities, ignoring non-monetary deprivations, and providing inadequate guidance for targeted policy interventions (Sen, 1999; Alkire &amp; Foster, 2011; Stiglitz et al., 2009). Sub-Saharan Africa, Uganda inclusive, confronts a particularly acute measurement challenge: a large share of the population experiences overlapping deprivations across education, health, housing, and digital access that income metrics simply cannot capture.</w:t>
      </w:r>
    </w:p>
    <w:p>
      <w:pPr>
        <w:pStyle w:val="style0"/>
        <w:spacing w:before="0" w:after="80"/>
        <w:rPr/>
      </w:pPr>
    </w:p>
    <w:p>
      <w:pPr>
        <w:pStyle w:val="style0"/>
        <w:spacing w:before="80" w:after="80" w:lineRule="auto" w:line="336"/>
        <w:jc w:val="both"/>
        <w:rPr/>
      </w:pPr>
      <w:r>
        <w:rPr>
          <w:rFonts w:ascii="Arial" w:cs="Arial" w:eastAsia="Arial" w:hAnsi="Arial"/>
          <w:sz w:val="22"/>
          <w:szCs w:val="22"/>
        </w:rPr>
        <w:t>The African Statistics Day 202</w:t>
      </w:r>
      <w:r>
        <w:rPr>
          <w:rFonts w:ascii="Arial" w:cs="Arial" w:eastAsia="Arial" w:hAnsi="Arial"/>
          <w:sz w:val="22"/>
          <w:szCs w:val="22"/>
          <w:lang w:val="en-US"/>
        </w:rPr>
        <w:t>6</w:t>
      </w:r>
      <w:r>
        <w:rPr>
          <w:rFonts w:ascii="Arial" w:cs="Arial" w:eastAsia="Arial" w:hAnsi="Arial"/>
          <w:sz w:val="22"/>
          <w:szCs w:val="22"/>
        </w:rPr>
        <w:t xml:space="preserve"> theme — centered on the role of statistical innovation, data-driven approaches, and evidence-based analytics in promoting inclusive development, social justice, peace, and prosperity — provides the intellectual and institutional context for this study. In line with this theme, this research proposes a rigorous, replicable, and policy-relevant methodology for constructing an Inclusive Prosperity Index (IPI) for Uganda, anchored in the best available household microdata from the Uganda National Household Survey (UNHS) 2019/2020 conducted by the Uganda Bureau of Statistics (UBOS).</w:t>
      </w:r>
    </w:p>
    <w:p>
      <w:pPr>
        <w:pStyle w:val="style0"/>
        <w:spacing w:before="0" w:after="80"/>
        <w:rPr/>
      </w:pPr>
    </w:p>
    <w:p>
      <w:pPr>
        <w:pStyle w:val="style4098"/>
        <w:spacing w:before="240" w:after="120"/>
        <w:rPr/>
      </w:pPr>
      <w:r>
        <w:rPr>
          <w:rFonts w:ascii="Arial" w:cs="Arial" w:eastAsia="Arial" w:hAnsi="Arial"/>
          <w:b/>
          <w:bCs/>
          <w:color w:val="004d2c"/>
          <w:sz w:val="26"/>
          <w:szCs w:val="26"/>
        </w:rPr>
        <w:t>1.2 Problem Statement</w:t>
      </w:r>
    </w:p>
    <w:p>
      <w:pPr>
        <w:pStyle w:val="style0"/>
        <w:spacing w:before="80" w:after="80" w:lineRule="auto" w:line="336"/>
        <w:jc w:val="both"/>
        <w:rPr/>
      </w:pPr>
      <w:r>
        <w:rPr>
          <w:rFonts w:ascii="Arial" w:cs="Arial" w:eastAsia="Arial" w:hAnsi="Arial"/>
          <w:sz w:val="22"/>
          <w:szCs w:val="22"/>
        </w:rPr>
        <w:t>Uganda has made significant strides in poverty reduction over the past two decades; however, aggregate progress has concealed deep spatial, gender, and sectoral inequalities. The northern and eastern regions continue to lag significantly behind the central and western regions on multiple welfare dimensions. Female-headed households, rural populations, and households without access to electricity or the internet remain disproportionately deprived. Existing national welfare metrics — primarily the Uganda Poverty Status Report's monetary poverty headcount — do not provide the multidimensional resolution required to design precise, dimension-specific interventions.</w:t>
      </w:r>
    </w:p>
    <w:p>
      <w:pPr>
        <w:pStyle w:val="style0"/>
        <w:spacing w:before="0" w:after="80"/>
        <w:rPr/>
      </w:pPr>
    </w:p>
    <w:p>
      <w:pPr>
        <w:pStyle w:val="style0"/>
        <w:spacing w:before="80" w:after="80" w:lineRule="auto" w:line="336"/>
        <w:jc w:val="both"/>
        <w:rPr/>
      </w:pPr>
      <w:r>
        <w:rPr>
          <w:rFonts w:ascii="Arial" w:cs="Arial" w:eastAsia="Arial" w:hAnsi="Arial"/>
          <w:sz w:val="22"/>
          <w:szCs w:val="22"/>
        </w:rPr>
        <w:t>This research addresses this gap by constructing, validating, and applying a composite Inclusive Prosperity Index that simultaneously captures economic, educational, housing, digital, and health dimensions of household welfare.</w:t>
      </w:r>
    </w:p>
    <w:p>
      <w:pPr>
        <w:pStyle w:val="style0"/>
        <w:spacing w:before="0" w:after="80"/>
        <w:rPr/>
      </w:pPr>
    </w:p>
    <w:p>
      <w:pPr>
        <w:pStyle w:val="style4098"/>
        <w:spacing w:before="240" w:after="120"/>
        <w:rPr/>
      </w:pPr>
      <w:r>
        <w:rPr>
          <w:rFonts w:ascii="Arial" w:cs="Arial" w:eastAsia="Arial" w:hAnsi="Arial"/>
          <w:b/>
          <w:bCs/>
          <w:color w:val="004d2c"/>
          <w:sz w:val="26"/>
          <w:szCs w:val="26"/>
        </w:rPr>
        <w:t>1.3 Research Aim</w:t>
      </w:r>
    </w:p>
    <w:p>
      <w:pPr>
        <w:pStyle w:val="style0"/>
        <w:spacing w:before="80" w:after="80" w:lineRule="auto" w:line="336"/>
        <w:jc w:val="both"/>
        <w:rPr/>
      </w:pPr>
      <w:r>
        <w:rPr>
          <w:rFonts w:ascii="Arial" w:cs="Arial" w:eastAsia="Arial" w:hAnsi="Arial"/>
          <w:sz w:val="22"/>
          <w:szCs w:val="22"/>
        </w:rPr>
        <w:t>To develop and validate an Inclusive Prosperity Index for Uganda and identify the key socioeconomic determinants of household prosperity using statistical, econometric, and machine learning techniques applied to the UNHS 2019/2020 dataset.</w:t>
      </w:r>
    </w:p>
    <w:p>
      <w:pPr>
        <w:pStyle w:val="style0"/>
        <w:spacing w:before="0" w:after="80"/>
        <w:rPr/>
      </w:pPr>
    </w:p>
    <w:p>
      <w:pPr>
        <w:pStyle w:val="style4098"/>
        <w:spacing w:before="240" w:after="120"/>
        <w:rPr/>
      </w:pPr>
      <w:r>
        <w:rPr>
          <w:rFonts w:ascii="Arial" w:cs="Arial" w:eastAsia="Arial" w:hAnsi="Arial"/>
          <w:b/>
          <w:bCs/>
          <w:color w:val="004d2c"/>
          <w:sz w:val="26"/>
          <w:szCs w:val="26"/>
        </w:rPr>
        <w:t>1.4 Research Objectives</w:t>
      </w:r>
    </w:p>
    <w:p>
      <w:pPr>
        <w:pStyle w:val="style179"/>
        <w:numPr>
          <w:ilvl w:val="0"/>
          <w:numId w:val="1"/>
        </w:numPr>
        <w:spacing w:before="40" w:after="40" w:lineRule="auto" w:line="300"/>
        <w:jc w:val="both"/>
        <w:rPr/>
      </w:pPr>
      <w:r>
        <w:rPr>
          <w:rFonts w:ascii="Arial" w:cs="Arial" w:eastAsia="Arial" w:hAnsi="Arial"/>
          <w:sz w:val="22"/>
          <w:szCs w:val="22"/>
        </w:rPr>
        <w:t>Construct an Inclusive Prosperity Index (IPI) using household-level socioeconomic indicators from the UNHS dataset.</w:t>
      </w:r>
    </w:p>
    <w:p>
      <w:pPr>
        <w:pStyle w:val="style179"/>
        <w:numPr>
          <w:ilvl w:val="0"/>
          <w:numId w:val="1"/>
        </w:numPr>
        <w:spacing w:before="40" w:after="40" w:lineRule="auto" w:line="300"/>
        <w:jc w:val="both"/>
        <w:rPr/>
      </w:pPr>
      <w:r>
        <w:rPr>
          <w:rFonts w:ascii="Arial" w:cs="Arial" w:eastAsia="Arial" w:hAnsi="Arial"/>
          <w:sz w:val="22"/>
          <w:szCs w:val="22"/>
        </w:rPr>
        <w:t>Assess regional and demographic disparities in prosperity across Uganda.</w:t>
      </w:r>
    </w:p>
    <w:p>
      <w:pPr>
        <w:pStyle w:val="style179"/>
        <w:numPr>
          <w:ilvl w:val="0"/>
          <w:numId w:val="1"/>
        </w:numPr>
        <w:spacing w:before="40" w:after="40" w:lineRule="auto" w:line="300"/>
        <w:jc w:val="both"/>
        <w:rPr/>
      </w:pPr>
      <w:r>
        <w:rPr>
          <w:rFonts w:ascii="Arial" w:cs="Arial" w:eastAsia="Arial" w:hAnsi="Arial"/>
          <w:sz w:val="22"/>
          <w:szCs w:val="22"/>
        </w:rPr>
        <w:t>Identify the socioeconomic determinants of household prosperity.</w:t>
      </w:r>
    </w:p>
    <w:p>
      <w:pPr>
        <w:pStyle w:val="style179"/>
        <w:numPr>
          <w:ilvl w:val="0"/>
          <w:numId w:val="1"/>
        </w:numPr>
        <w:spacing w:before="40" w:after="40" w:lineRule="auto" w:line="300"/>
        <w:jc w:val="both"/>
        <w:rPr/>
      </w:pPr>
      <w:r>
        <w:rPr>
          <w:rFonts w:ascii="Arial" w:cs="Arial" w:eastAsia="Arial" w:hAnsi="Arial"/>
          <w:sz w:val="22"/>
          <w:szCs w:val="22"/>
        </w:rPr>
        <w:t>Apply machine learning techniques in predicting household prosperity levels.</w:t>
      </w:r>
    </w:p>
    <w:p>
      <w:pPr>
        <w:pStyle w:val="style179"/>
        <w:numPr>
          <w:ilvl w:val="0"/>
          <w:numId w:val="1"/>
        </w:numPr>
        <w:spacing w:before="40" w:after="40" w:lineRule="auto" w:line="300"/>
        <w:jc w:val="both"/>
        <w:rPr/>
      </w:pPr>
      <w:r>
        <w:rPr>
          <w:rFonts w:ascii="Arial" w:cs="Arial" w:eastAsia="Arial" w:hAnsi="Arial"/>
          <w:sz w:val="22"/>
          <w:szCs w:val="22"/>
        </w:rPr>
        <w:t>Evaluate the robustness and stability of the IPI and associated models.</w:t>
      </w:r>
    </w:p>
    <w:p>
      <w:pPr>
        <w:pStyle w:val="style179"/>
        <w:numPr>
          <w:ilvl w:val="0"/>
          <w:numId w:val="1"/>
        </w:numPr>
        <w:spacing w:before="40" w:after="40" w:lineRule="auto" w:line="300"/>
        <w:jc w:val="both"/>
        <w:rPr/>
      </w:pPr>
      <w:r>
        <w:rPr>
          <w:rFonts w:ascii="Arial" w:cs="Arial" w:eastAsia="Arial" w:hAnsi="Arial"/>
          <w:sz w:val="22"/>
          <w:szCs w:val="22"/>
        </w:rPr>
        <w:t>Develop interactive visualizations and dashboards to support evidence-based policy decisions.</w:t>
      </w:r>
    </w:p>
    <w:p>
      <w:pPr>
        <w:pStyle w:val="style179"/>
        <w:numPr>
          <w:ilvl w:val="0"/>
          <w:numId w:val="1"/>
        </w:numPr>
        <w:spacing w:before="40" w:after="40" w:lineRule="auto" w:line="300"/>
        <w:jc w:val="both"/>
        <w:rPr/>
      </w:pPr>
      <w:r>
        <w:rPr>
          <w:rFonts w:ascii="Arial" w:cs="Arial" w:eastAsia="Arial" w:hAnsi="Arial"/>
          <w:sz w:val="22"/>
          <w:szCs w:val="22"/>
        </w:rPr>
        <w:t>Demonstrate how innovations in data and statistics contribute to a just, peaceful, inclusive, and prosperous society.</w:t>
      </w:r>
    </w:p>
    <w:p>
      <w:pPr>
        <w:pStyle w:val="style0"/>
        <w:spacing w:before="0" w:after="80"/>
        <w:rPr/>
      </w:pPr>
    </w:p>
    <w:p>
      <w:pPr>
        <w:pStyle w:val="style4098"/>
        <w:spacing w:before="240" w:after="120"/>
        <w:rPr/>
      </w:pPr>
      <w:r>
        <w:rPr>
          <w:rFonts w:ascii="Arial" w:cs="Arial" w:eastAsia="Arial" w:hAnsi="Arial"/>
          <w:b/>
          <w:bCs/>
          <w:color w:val="004d2c"/>
          <w:sz w:val="26"/>
          <w:szCs w:val="26"/>
        </w:rPr>
        <w:t>1.5 Research Questions</w:t>
      </w:r>
    </w:p>
    <w:p>
      <w:pPr>
        <w:pStyle w:val="style179"/>
        <w:numPr>
          <w:ilvl w:val="0"/>
          <w:numId w:val="1"/>
        </w:numPr>
        <w:spacing w:before="40" w:after="40" w:lineRule="auto" w:line="300"/>
        <w:jc w:val="both"/>
        <w:rPr/>
      </w:pPr>
      <w:r>
        <w:rPr>
          <w:rFonts w:ascii="Arial" w:cs="Arial" w:eastAsia="Arial" w:hAnsi="Arial"/>
          <w:sz w:val="22"/>
          <w:szCs w:val="22"/>
        </w:rPr>
        <w:t>What is the level of inclusive prosperity among households in Uganda?</w:t>
      </w:r>
    </w:p>
    <w:p>
      <w:pPr>
        <w:pStyle w:val="style179"/>
        <w:numPr>
          <w:ilvl w:val="0"/>
          <w:numId w:val="1"/>
        </w:numPr>
        <w:spacing w:before="40" w:after="40" w:lineRule="auto" w:line="300"/>
        <w:jc w:val="both"/>
        <w:rPr/>
      </w:pPr>
      <w:r>
        <w:rPr>
          <w:rFonts w:ascii="Arial" w:cs="Arial" w:eastAsia="Arial" w:hAnsi="Arial"/>
          <w:sz w:val="22"/>
          <w:szCs w:val="22"/>
        </w:rPr>
        <w:t>How does prosperity vary across regions, genders, and urban-rural locations?</w:t>
      </w:r>
    </w:p>
    <w:p>
      <w:pPr>
        <w:pStyle w:val="style179"/>
        <w:numPr>
          <w:ilvl w:val="0"/>
          <w:numId w:val="1"/>
        </w:numPr>
        <w:spacing w:before="40" w:after="40" w:lineRule="auto" w:line="300"/>
        <w:jc w:val="both"/>
        <w:rPr/>
      </w:pPr>
      <w:r>
        <w:rPr>
          <w:rFonts w:ascii="Arial" w:cs="Arial" w:eastAsia="Arial" w:hAnsi="Arial"/>
          <w:sz w:val="22"/>
          <w:szCs w:val="22"/>
        </w:rPr>
        <w:t>Which socioeconomic factors significantly influence household prosperity?</w:t>
      </w:r>
    </w:p>
    <w:p>
      <w:pPr>
        <w:pStyle w:val="style179"/>
        <w:numPr>
          <w:ilvl w:val="0"/>
          <w:numId w:val="1"/>
        </w:numPr>
        <w:spacing w:before="40" w:after="40" w:lineRule="auto" w:line="300"/>
        <w:jc w:val="both"/>
        <w:rPr/>
      </w:pPr>
      <w:r>
        <w:rPr>
          <w:rFonts w:ascii="Arial" w:cs="Arial" w:eastAsia="Arial" w:hAnsi="Arial"/>
          <w:sz w:val="22"/>
          <w:szCs w:val="22"/>
        </w:rPr>
        <w:t>Can machine learning algorithms accurately predict household prosperity?</w:t>
      </w:r>
    </w:p>
    <w:p>
      <w:pPr>
        <w:pStyle w:val="style179"/>
        <w:numPr>
          <w:ilvl w:val="0"/>
          <w:numId w:val="1"/>
        </w:numPr>
        <w:spacing w:before="40" w:after="40" w:lineRule="auto" w:line="300"/>
        <w:jc w:val="both"/>
        <w:rPr/>
      </w:pPr>
      <w:r>
        <w:rPr>
          <w:rFonts w:ascii="Arial" w:cs="Arial" w:eastAsia="Arial" w:hAnsi="Arial"/>
          <w:sz w:val="22"/>
          <w:szCs w:val="22"/>
        </w:rPr>
        <w:t>Are the findings robust under alternative modelling and index construction approaches?</w:t>
      </w:r>
    </w:p>
    <w:p>
      <w:pPr>
        <w:pStyle w:val="style179"/>
        <w:numPr>
          <w:ilvl w:val="0"/>
          <w:numId w:val="1"/>
        </w:numPr>
        <w:spacing w:before="40" w:after="40" w:lineRule="auto" w:line="300"/>
        <w:jc w:val="both"/>
        <w:rPr/>
      </w:pPr>
      <w:r>
        <w:rPr>
          <w:rFonts w:ascii="Arial" w:cs="Arial" w:eastAsia="Arial" w:hAnsi="Arial"/>
          <w:sz w:val="22"/>
          <w:szCs w:val="22"/>
        </w:rPr>
        <w:t>How can data-driven insights improve policy formulation and resource allocation?</w:t>
      </w:r>
    </w:p>
    <w:p>
      <w:pPr>
        <w:pStyle w:val="style0"/>
        <w:spacing w:before="0" w:after="80"/>
        <w:rPr/>
      </w:pPr>
    </w:p>
    <w:p>
      <w:pPr>
        <w:pStyle w:val="style4098"/>
        <w:spacing w:before="240" w:after="120"/>
        <w:rPr/>
      </w:pPr>
      <w:r>
        <w:rPr>
          <w:rFonts w:ascii="Arial" w:cs="Arial" w:eastAsia="Arial" w:hAnsi="Arial"/>
          <w:b/>
          <w:bCs/>
          <w:color w:val="004d2c"/>
          <w:sz w:val="26"/>
          <w:szCs w:val="26"/>
        </w:rPr>
        <w:t>1.6 Justification and Significance</w:t>
      </w:r>
    </w:p>
    <w:p>
      <w:pPr>
        <w:pStyle w:val="style0"/>
        <w:spacing w:before="80" w:after="80" w:lineRule="auto" w:line="336"/>
        <w:jc w:val="both"/>
        <w:rPr/>
      </w:pPr>
      <w:r>
        <w:rPr>
          <w:rFonts w:ascii="Arial" w:cs="Arial" w:eastAsia="Arial" w:hAnsi="Arial"/>
          <w:sz w:val="22"/>
          <w:szCs w:val="22"/>
        </w:rPr>
        <w:t>This study contributes to a growing global literature on multidimensional welfare measurement while being firmly grounded in Ugandan context, data, and policy imperatives. By combining PCA-based index construction with classical econometrics and state-of-the-art machine learning, it bridges the gap between academic methodological innovation and practical policy application. The resulting IPI can be updated with each successive UNHS cycle, providing an ongoing, comparable monitoring instrument for UBOS, the Ministry of Finance Planning and Economic Development (MoFPED), and district-level planning authorities.</w:t>
      </w:r>
    </w:p>
    <w:p>
      <w:pPr>
        <w:pStyle w:val="style0"/>
        <w:rPr/>
      </w:pPr>
      <w:r>
        <w:br/>
      </w:r>
      <w:r>
        <w:br w:type="page"/>
      </w:r>
    </w:p>
    <w:p>
      <w:pPr>
        <w:pStyle w:val="style4097"/>
        <w:spacing w:before="360" w:after="160"/>
        <w:rPr/>
      </w:pPr>
      <w:r>
        <w:rPr>
          <w:rFonts w:ascii="Arial" w:cs="Arial" w:eastAsia="Arial" w:hAnsi="Arial"/>
          <w:b/>
          <w:bCs/>
          <w:color w:val="004d2c"/>
          <w:sz w:val="32"/>
          <w:szCs w:val="32"/>
        </w:rPr>
        <w:t>2. LITERATURE REVIEW</w:t>
      </w:r>
    </w:p>
    <w:p>
      <w:pPr>
        <w:pStyle w:val="style4098"/>
        <w:spacing w:before="240" w:after="120"/>
        <w:rPr/>
      </w:pPr>
      <w:r>
        <w:rPr>
          <w:rFonts w:ascii="Arial" w:cs="Arial" w:eastAsia="Arial" w:hAnsi="Arial"/>
          <w:b/>
          <w:bCs/>
          <w:color w:val="004d2c"/>
          <w:sz w:val="26"/>
          <w:szCs w:val="26"/>
        </w:rPr>
        <w:t>2.1 Multidimensional Welfare Measurement</w:t>
      </w:r>
    </w:p>
    <w:p>
      <w:pPr>
        <w:pStyle w:val="style0"/>
        <w:spacing w:before="80" w:after="80" w:lineRule="auto" w:line="336"/>
        <w:jc w:val="both"/>
        <w:rPr/>
      </w:pPr>
      <w:r>
        <w:rPr>
          <w:rFonts w:ascii="Arial" w:cs="Arial" w:eastAsia="Arial" w:hAnsi="Arial"/>
          <w:sz w:val="22"/>
          <w:szCs w:val="22"/>
        </w:rPr>
        <w:t>The intellectual foundation for multidimensional poverty and prosperity measurement traces back to Amartya Sen's Capability Approach (1999), which argues that human wellbeing should be assessed in terms of what individuals are able to do and be, rather than what they earn or consume. This philosophical framework underpins the United Nations Development Programme's Human Development Index (HDI), which combines health (life expectancy), education (years of schooling), and income into a composite measure.</w:t>
      </w:r>
    </w:p>
    <w:p>
      <w:pPr>
        <w:pStyle w:val="style0"/>
        <w:spacing w:before="0" w:after="80"/>
        <w:rPr/>
      </w:pPr>
    </w:p>
    <w:p>
      <w:pPr>
        <w:pStyle w:val="style0"/>
        <w:spacing w:before="80" w:after="80" w:lineRule="auto" w:line="336"/>
        <w:jc w:val="both"/>
        <w:rPr/>
      </w:pPr>
      <w:r>
        <w:rPr>
          <w:rFonts w:ascii="Arial" w:cs="Arial" w:eastAsia="Arial" w:hAnsi="Arial"/>
          <w:sz w:val="22"/>
          <w:szCs w:val="22"/>
        </w:rPr>
        <w:t>Building on Sen's framework, Alkire and Foster (2011) proposed the AF counting methodology, which identifies individuals as multidimensionally poor if they are deprived across a weighted set of indicators above a cross-dimensional poverty cutoff. This methodology forms the basis of the Global Multidimensional Poverty Index (MPI), now computed for over 100 countries. While the MPI focuses on poverty identification, this study extends the concept to capture the full spectrum of prosperity, including moderate and high wellbeing.</w:t>
      </w:r>
    </w:p>
    <w:p>
      <w:pPr>
        <w:pStyle w:val="style0"/>
        <w:spacing w:before="0" w:after="80"/>
        <w:rPr/>
      </w:pPr>
    </w:p>
    <w:p>
      <w:pPr>
        <w:pStyle w:val="style4098"/>
        <w:spacing w:before="240" w:after="120"/>
        <w:rPr/>
      </w:pPr>
      <w:r>
        <w:rPr>
          <w:rFonts w:ascii="Arial" w:cs="Arial" w:eastAsia="Arial" w:hAnsi="Arial"/>
          <w:b/>
          <w:bCs/>
          <w:color w:val="004d2c"/>
          <w:sz w:val="26"/>
          <w:szCs w:val="26"/>
        </w:rPr>
        <w:t>2.2 Principal Component Analysis in Index Construction</w:t>
      </w:r>
    </w:p>
    <w:p>
      <w:pPr>
        <w:pStyle w:val="style0"/>
        <w:spacing w:before="80" w:after="80" w:lineRule="auto" w:line="336"/>
        <w:jc w:val="both"/>
        <w:rPr/>
      </w:pPr>
      <w:r>
        <w:rPr>
          <w:rFonts w:ascii="Arial" w:cs="Arial" w:eastAsia="Arial" w:hAnsi="Arial"/>
          <w:sz w:val="22"/>
          <w:szCs w:val="22"/>
        </w:rPr>
        <w:t>PCA has been widely employed in constructing composite welfare indices from household survey data. Its primary advantage is that it generates data-driven, objective weights derived from the variance-covariance structure of the indicators, eliminating the need for subjective weighting schemes. Filmer and Pritchett (2001) applied PCA to construct an asset-based wealth index from Demographic and Health Survey (DHS) data, subsequently used as a standard tool in the DHS programme. This methodological precedent directly informs the IPI construction approach adopted in this study.</w:t>
      </w:r>
    </w:p>
    <w:p>
      <w:pPr>
        <w:pStyle w:val="style0"/>
        <w:spacing w:before="0" w:after="80"/>
        <w:rPr/>
      </w:pPr>
    </w:p>
    <w:p>
      <w:pPr>
        <w:pStyle w:val="style4098"/>
        <w:spacing w:before="240" w:after="120"/>
        <w:rPr/>
      </w:pPr>
      <w:r>
        <w:rPr>
          <w:rFonts w:ascii="Arial" w:cs="Arial" w:eastAsia="Arial" w:hAnsi="Arial"/>
          <w:b/>
          <w:bCs/>
          <w:color w:val="004d2c"/>
          <w:sz w:val="26"/>
          <w:szCs w:val="26"/>
        </w:rPr>
        <w:t>2.3 Machine Learning in Development Economics</w:t>
      </w:r>
    </w:p>
    <w:p>
      <w:pPr>
        <w:pStyle w:val="style0"/>
        <w:spacing w:before="80" w:after="80" w:lineRule="auto" w:line="336"/>
        <w:jc w:val="both"/>
        <w:rPr/>
      </w:pPr>
      <w:r>
        <w:rPr>
          <w:rFonts w:ascii="Arial" w:cs="Arial" w:eastAsia="Arial" w:hAnsi="Arial"/>
          <w:sz w:val="22"/>
          <w:szCs w:val="22"/>
        </w:rPr>
        <w:t>The application of machine learning to development economics and poverty analysis is an emerging but rapidly growing field. Jean et al. (2016) demonstrated that deep learning applied to satellite imagery can predict poverty at the village level with accuracy rivalling costly household surveys. Blumenstock et al. (2015) used mobile phone metadata and Random Forest models to map wealth distribution in Rwanda. More recent work by Christoph et al. (2020) and the World Bank's poverty team has applied gradient boosting algorithms to predict household poverty status from national household surveys with high accuracy. These applications inspire Phase 5 of this study.</w:t>
      </w:r>
    </w:p>
    <w:p>
      <w:pPr>
        <w:pStyle w:val="style0"/>
        <w:spacing w:before="0" w:after="80"/>
        <w:rPr/>
      </w:pPr>
    </w:p>
    <w:p>
      <w:pPr>
        <w:pStyle w:val="style4098"/>
        <w:spacing w:before="240" w:after="120"/>
        <w:rPr/>
      </w:pPr>
      <w:r>
        <w:rPr>
          <w:rFonts w:ascii="Arial" w:cs="Arial" w:eastAsia="Arial" w:hAnsi="Arial"/>
          <w:b/>
          <w:bCs/>
          <w:color w:val="004d2c"/>
          <w:sz w:val="26"/>
          <w:szCs w:val="26"/>
        </w:rPr>
        <w:t>2.4 Household Prosperity in Uganda: Existing Evidence</w:t>
      </w:r>
    </w:p>
    <w:p>
      <w:pPr>
        <w:pStyle w:val="style0"/>
        <w:spacing w:before="80" w:after="80" w:lineRule="auto" w:line="336"/>
        <w:jc w:val="both"/>
        <w:rPr/>
      </w:pPr>
      <w:r>
        <w:rPr>
          <w:rFonts w:ascii="Arial" w:cs="Arial" w:eastAsia="Arial" w:hAnsi="Arial"/>
          <w:sz w:val="22"/>
          <w:szCs w:val="22"/>
        </w:rPr>
        <w:t>The Uganda Bureau of Statistics publishes the Uganda Poverty Status Report following each UNHS cycle. The 2019/2020 report estimated a national poverty headcount of 21.4%, masking significant regional variation: poverty was 9% in the Central region and 43% in the Eastern region. Urban poverty stood at 4%, compared to 26% in rural areas. Female-headed households were disproportionately represented among the poor. However, these figures reflect monetary poverty only, underscoring the need for a multidimensional complement such as the IPI.</w:t>
      </w:r>
    </w:p>
    <w:p>
      <w:pPr>
        <w:pStyle w:val="style0"/>
        <w:spacing w:before="0" w:after="80"/>
        <w:rPr/>
      </w:pPr>
    </w:p>
    <w:p>
      <w:pPr>
        <w:pStyle w:val="style4098"/>
        <w:spacing w:before="240" w:after="120"/>
        <w:rPr/>
      </w:pPr>
      <w:r>
        <w:rPr>
          <w:rFonts w:ascii="Arial" w:cs="Arial" w:eastAsia="Arial" w:hAnsi="Arial"/>
          <w:b/>
          <w:bCs/>
          <w:color w:val="004d2c"/>
          <w:sz w:val="26"/>
          <w:szCs w:val="26"/>
        </w:rPr>
        <w:t>2.5 Conceptual Framework</w:t>
      </w:r>
    </w:p>
    <w:p>
      <w:pPr>
        <w:pStyle w:val="style0"/>
        <w:spacing w:before="80" w:after="80" w:lineRule="auto" w:line="336"/>
        <w:jc w:val="both"/>
        <w:rPr/>
      </w:pPr>
      <w:r>
        <w:rPr>
          <w:rFonts w:ascii="Arial" w:cs="Arial" w:eastAsia="Arial" w:hAnsi="Arial"/>
          <w:sz w:val="22"/>
          <w:szCs w:val="22"/>
        </w:rPr>
        <w:t>This study's conceptual framework is guided by three intersecting theoretical pillars: (i) the Capability Approach, which motivates the selection of non-monetary dimensions; (ii) the composite index methodology, which provides the statistical architecture for aggregating indicators; and (iii) predictive analytics theory, which justifies the application of machine learning to identify drivers of household prosperity. Together, these pillars position the IPI as both a diagnostic tool (measuring current prosperity levels) and a predictive instrument (identifying determinants and vulnerabilities for future targeting).</w:t>
      </w:r>
    </w:p>
    <w:p>
      <w:pPr>
        <w:pStyle w:val="style0"/>
        <w:rPr/>
      </w:pPr>
      <w:r>
        <w:br/>
      </w:r>
      <w:r>
        <w:br w:type="page"/>
      </w:r>
    </w:p>
    <w:p>
      <w:pPr>
        <w:pStyle w:val="style4097"/>
        <w:spacing w:before="360" w:after="160"/>
        <w:rPr/>
      </w:pPr>
      <w:r>
        <w:rPr>
          <w:rFonts w:ascii="Arial" w:cs="Arial" w:eastAsia="Arial" w:hAnsi="Arial"/>
          <w:b/>
          <w:bCs/>
          <w:color w:val="004d2c"/>
          <w:sz w:val="32"/>
          <w:szCs w:val="32"/>
        </w:rPr>
        <w:t>3. DATA SOURCE AND DESCRIPTION</w:t>
      </w:r>
    </w:p>
    <w:p>
      <w:pPr>
        <w:pStyle w:val="style4098"/>
        <w:spacing w:before="240" w:after="120"/>
        <w:rPr/>
      </w:pPr>
      <w:r>
        <w:rPr>
          <w:rFonts w:ascii="Arial" w:cs="Arial" w:eastAsia="Arial" w:hAnsi="Arial"/>
          <w:b/>
          <w:bCs/>
          <w:color w:val="004d2c"/>
          <w:sz w:val="26"/>
          <w:szCs w:val="26"/>
        </w:rPr>
        <w:t>3.1 Uganda National Household Survey 2019/2020</w:t>
      </w:r>
    </w:p>
    <w:p>
      <w:pPr>
        <w:pStyle w:val="style0"/>
        <w:spacing w:before="80" w:after="80" w:lineRule="auto" w:line="336"/>
        <w:jc w:val="both"/>
        <w:rPr/>
      </w:pPr>
      <w:r>
        <w:rPr>
          <w:rFonts w:ascii="Arial" w:cs="Arial" w:eastAsia="Arial" w:hAnsi="Arial"/>
          <w:sz w:val="22"/>
          <w:szCs w:val="22"/>
        </w:rPr>
        <w:t>The primary data source for this study is the Uganda National Household Survey (UNHS) 2019/2020, conducted by the Uganda Bureau of Statistics (UBOS) between 2019 and 2020. The UNHS is Uganda's flagship household survey, designed to provide nationally and regionally representative data on household living standards, consumption, income, and socioeconomic wellbeing. The 2019/2020 round collected data from a stratified, multi-stage probability sample of households across all regions of Uganda, with separate urban and rural strata within each region.</w:t>
      </w:r>
    </w:p>
    <w:p>
      <w:pPr>
        <w:pStyle w:val="style0"/>
        <w:spacing w:before="0" w:after="80"/>
        <w:rPr/>
      </w:pPr>
    </w:p>
    <w:p>
      <w:pPr>
        <w:pStyle w:val="style4098"/>
        <w:spacing w:before="240" w:after="120"/>
        <w:rPr/>
      </w:pPr>
      <w:r>
        <w:rPr>
          <w:rFonts w:ascii="Arial" w:cs="Arial" w:eastAsia="Arial" w:hAnsi="Arial"/>
          <w:b/>
          <w:bCs/>
          <w:color w:val="004d2c"/>
          <w:sz w:val="26"/>
          <w:szCs w:val="26"/>
        </w:rPr>
        <w:t>3.2 Survey Modules Used</w:t>
      </w:r>
    </w:p>
    <w:p>
      <w:pPr>
        <w:pStyle w:val="style0"/>
        <w:spacing w:before="80" w:after="80" w:lineRule="auto" w:line="336"/>
        <w:jc w:val="both"/>
        <w:rPr/>
      </w:pPr>
      <w:r>
        <w:rPr>
          <w:rFonts w:ascii="Arial" w:cs="Arial" w:eastAsia="Arial" w:hAnsi="Arial"/>
          <w:sz w:val="22"/>
          <w:szCs w:val="22"/>
        </w:rPr>
        <w:t>This study draws on the following UNHS modules, which are merged at the household level to construct the analytical dataset:</w:t>
      </w:r>
    </w:p>
    <w:p>
      <w:pPr>
        <w:pStyle w:val="style179"/>
        <w:numPr>
          <w:ilvl w:val="0"/>
          <w:numId w:val="3"/>
        </w:numPr>
        <w:spacing w:before="40" w:after="40" w:lineRule="auto" w:line="300"/>
        <w:jc w:val="both"/>
        <w:rPr/>
      </w:pPr>
      <w:r>
        <w:rPr>
          <w:rFonts w:ascii="Arial" w:cs="Arial" w:eastAsia="Arial" w:hAnsi="Arial"/>
          <w:sz w:val="22"/>
          <w:szCs w:val="22"/>
        </w:rPr>
        <w:t>Household Roster &amp; Demographics: household size, age structure, gender composition, and educational attainment of household members.</w:t>
      </w:r>
    </w:p>
    <w:p>
      <w:pPr>
        <w:pStyle w:val="style179"/>
        <w:numPr>
          <w:ilvl w:val="0"/>
          <w:numId w:val="3"/>
        </w:numPr>
        <w:spacing w:before="40" w:after="40" w:lineRule="auto" w:line="300"/>
        <w:jc w:val="both"/>
        <w:rPr/>
      </w:pPr>
      <w:r>
        <w:rPr>
          <w:rFonts w:ascii="Arial" w:cs="Arial" w:eastAsia="Arial" w:hAnsi="Arial"/>
          <w:sz w:val="22"/>
          <w:szCs w:val="22"/>
        </w:rPr>
        <w:t>Consumption &amp; Expenditure: total household consumption expenditure per adult equivalent, disaggregated by food and non-food components.</w:t>
      </w:r>
    </w:p>
    <w:p>
      <w:pPr>
        <w:pStyle w:val="style179"/>
        <w:numPr>
          <w:ilvl w:val="0"/>
          <w:numId w:val="3"/>
        </w:numPr>
        <w:spacing w:before="40" w:after="40" w:lineRule="auto" w:line="300"/>
        <w:jc w:val="both"/>
        <w:rPr/>
      </w:pPr>
      <w:r>
        <w:rPr>
          <w:rFonts w:ascii="Arial" w:cs="Arial" w:eastAsia="Arial" w:hAnsi="Arial"/>
          <w:sz w:val="22"/>
          <w:szCs w:val="22"/>
        </w:rPr>
        <w:t>Employment &amp; Livelihoods: employment status, sector of employment, and income-generating activities.</w:t>
      </w:r>
    </w:p>
    <w:p>
      <w:pPr>
        <w:pStyle w:val="style179"/>
        <w:numPr>
          <w:ilvl w:val="0"/>
          <w:numId w:val="3"/>
        </w:numPr>
        <w:spacing w:before="40" w:after="40" w:lineRule="auto" w:line="300"/>
        <w:jc w:val="both"/>
        <w:rPr/>
      </w:pPr>
      <w:r>
        <w:rPr>
          <w:rFonts w:ascii="Arial" w:cs="Arial" w:eastAsia="Arial" w:hAnsi="Arial"/>
          <w:sz w:val="22"/>
          <w:szCs w:val="22"/>
        </w:rPr>
        <w:t>Education: school attendance rates, highest educational level attained by the household head.</w:t>
      </w:r>
    </w:p>
    <w:p>
      <w:pPr>
        <w:pStyle w:val="style179"/>
        <w:numPr>
          <w:ilvl w:val="0"/>
          <w:numId w:val="3"/>
        </w:numPr>
        <w:spacing w:before="40" w:after="40" w:lineRule="auto" w:line="300"/>
        <w:jc w:val="both"/>
        <w:rPr/>
      </w:pPr>
      <w:r>
        <w:rPr>
          <w:rFonts w:ascii="Arial" w:cs="Arial" w:eastAsia="Arial" w:hAnsi="Arial"/>
          <w:sz w:val="22"/>
          <w:szCs w:val="22"/>
        </w:rPr>
        <w:t>Housing &amp; Living Standards: quality of housing materials (floor, roof, walls), access to electricity, source of drinking water, and type of sanitation facility.</w:t>
      </w:r>
    </w:p>
    <w:p>
      <w:pPr>
        <w:pStyle w:val="style179"/>
        <w:numPr>
          <w:ilvl w:val="0"/>
          <w:numId w:val="3"/>
        </w:numPr>
        <w:spacing w:before="40" w:after="40" w:lineRule="auto" w:line="300"/>
        <w:jc w:val="both"/>
        <w:rPr/>
      </w:pPr>
      <w:r>
        <w:rPr>
          <w:rFonts w:ascii="Arial" w:cs="Arial" w:eastAsia="Arial" w:hAnsi="Arial"/>
          <w:sz w:val="22"/>
          <w:szCs w:val="22"/>
        </w:rPr>
        <w:t>ICT &amp; Digital Access: mobile phone ownership, internet access, and computer ownership.</w:t>
      </w:r>
    </w:p>
    <w:p>
      <w:pPr>
        <w:pStyle w:val="style179"/>
        <w:numPr>
          <w:ilvl w:val="0"/>
          <w:numId w:val="3"/>
        </w:numPr>
        <w:spacing w:before="40" w:after="40" w:lineRule="auto" w:line="300"/>
        <w:jc w:val="both"/>
        <w:rPr/>
      </w:pPr>
      <w:r>
        <w:rPr>
          <w:rFonts w:ascii="Arial" w:cs="Arial" w:eastAsia="Arial" w:hAnsi="Arial"/>
          <w:sz w:val="22"/>
          <w:szCs w:val="22"/>
        </w:rPr>
        <w:t>Health: access to healthcare facilities, disability status of household members.</w:t>
      </w:r>
    </w:p>
    <w:p>
      <w:pPr>
        <w:pStyle w:val="style0"/>
        <w:spacing w:before="0" w:after="80"/>
        <w:rPr/>
      </w:pPr>
    </w:p>
    <w:p>
      <w:pPr>
        <w:pStyle w:val="style4098"/>
        <w:spacing w:before="240" w:after="120"/>
        <w:rPr/>
      </w:pPr>
      <w:r>
        <w:rPr>
          <w:rFonts w:ascii="Arial" w:cs="Arial" w:eastAsia="Arial" w:hAnsi="Arial"/>
          <w:b/>
          <w:bCs/>
          <w:color w:val="004d2c"/>
          <w:sz w:val="26"/>
          <w:szCs w:val="26"/>
        </w:rPr>
        <w:t>3.3 Unit of Analysis</w:t>
      </w:r>
    </w:p>
    <w:p>
      <w:pPr>
        <w:pStyle w:val="style0"/>
        <w:spacing w:before="80" w:after="80" w:lineRule="auto" w:line="336"/>
        <w:jc w:val="both"/>
        <w:rPr/>
      </w:pPr>
      <w:r>
        <w:rPr>
          <w:rFonts w:ascii="Arial" w:cs="Arial" w:eastAsia="Arial" w:hAnsi="Arial"/>
          <w:sz w:val="22"/>
          <w:szCs w:val="22"/>
        </w:rPr>
        <w:t>The unit of analysis is the household. All indicators are either measured or aggregated at the household level. Where individual-level data (e.g., educational attainment) are relevant, the household head's attributes are used as the household-level proxy, consistent with standard practice in household survey analysis.</w:t>
      </w:r>
    </w:p>
    <w:p>
      <w:pPr>
        <w:pStyle w:val="style0"/>
        <w:spacing w:before="0" w:after="80"/>
        <w:rPr/>
      </w:pPr>
    </w:p>
    <w:p>
      <w:pPr>
        <w:pStyle w:val="style4098"/>
        <w:spacing w:before="240" w:after="120"/>
        <w:rPr/>
      </w:pPr>
      <w:r>
        <w:rPr>
          <w:rFonts w:ascii="Arial" w:cs="Arial" w:eastAsia="Arial" w:hAnsi="Arial"/>
          <w:b/>
          <w:bCs/>
          <w:color w:val="004d2c"/>
          <w:sz w:val="26"/>
          <w:szCs w:val="26"/>
        </w:rPr>
        <w:t>3.4 Survey Design and Weights</w:t>
      </w:r>
    </w:p>
    <w:p>
      <w:pPr>
        <w:pStyle w:val="style0"/>
        <w:spacing w:before="80" w:after="80" w:lineRule="auto" w:line="336"/>
        <w:jc w:val="both"/>
        <w:rPr/>
      </w:pPr>
      <w:r>
        <w:rPr>
          <w:rFonts w:ascii="Arial" w:cs="Arial" w:eastAsia="Arial" w:hAnsi="Arial"/>
          <w:sz w:val="22"/>
          <w:szCs w:val="22"/>
        </w:rPr>
        <w:t>The UNHS 2019/2020 employs a stratified two-stage cluster sampling design. In recognition of this complex survey design, all descriptive statistics, regression models, and econometric estimates in this study are computed using survey-adjusted estimation procedures in Stata. Household sample weights are applied throughout to ensure nationally representative estimates. The svy: prefix commands in Stata are used to account for stratification, clustering, and probability weights simultaneously.</w:t>
      </w:r>
    </w:p>
    <w:p>
      <w:pPr>
        <w:pStyle w:val="style0"/>
        <w:rPr/>
      </w:pPr>
      <w:r>
        <w:br/>
      </w:r>
      <w:r>
        <w:br w:type="page"/>
      </w:r>
    </w:p>
    <w:p>
      <w:pPr>
        <w:pStyle w:val="style4097"/>
        <w:spacing w:before="360" w:after="160"/>
        <w:rPr/>
      </w:pPr>
      <w:r>
        <w:rPr>
          <w:rFonts w:ascii="Arial" w:cs="Arial" w:eastAsia="Arial" w:hAnsi="Arial"/>
          <w:b/>
          <w:bCs/>
          <w:color w:val="004d2c"/>
          <w:sz w:val="32"/>
          <w:szCs w:val="32"/>
        </w:rPr>
        <w:t>4. METHODOLOGY</w:t>
      </w:r>
    </w:p>
    <w:p>
      <w:pPr>
        <w:pStyle w:val="style0"/>
        <w:spacing w:before="80" w:after="80" w:lineRule="auto" w:line="336"/>
        <w:jc w:val="both"/>
        <w:rPr/>
      </w:pPr>
      <w:r>
        <w:rPr>
          <w:rFonts w:ascii="Arial" w:cs="Arial" w:eastAsia="Arial" w:hAnsi="Arial"/>
          <w:sz w:val="22"/>
          <w:szCs w:val="22"/>
        </w:rPr>
        <w:t>This study adopts an eight-phase mixed-methods analytical framework, integrating quantitative survey analysis, index construction, econometric modelling, machine learning, and data visualization. Each phase is described in detail below.</w:t>
      </w:r>
    </w:p>
    <w:p>
      <w:pPr>
        <w:pStyle w:val="style0"/>
        <w:spacing w:before="0" w:after="80"/>
        <w:rPr/>
      </w:pPr>
    </w:p>
    <w:p>
      <w:pPr>
        <w:pStyle w:val="style4098"/>
        <w:spacing w:before="240" w:after="120"/>
        <w:rPr/>
      </w:pPr>
      <w:r>
        <w:rPr>
          <w:rFonts w:ascii="Arial" w:cs="Arial" w:eastAsia="Arial" w:hAnsi="Arial"/>
          <w:b/>
          <w:bCs/>
          <w:color w:val="004d2c"/>
          <w:sz w:val="26"/>
          <w:szCs w:val="26"/>
        </w:rPr>
        <w:t>4.1 Phase 1: Data Management and Preparation (Stata)</w:t>
      </w:r>
    </w:p>
    <w:p>
      <w:pPr>
        <w:pStyle w:val="style0"/>
        <w:spacing w:before="80" w:after="80" w:lineRule="auto" w:line="336"/>
        <w:jc w:val="both"/>
        <w:rPr/>
      </w:pPr>
      <w:r>
        <w:rPr>
          <w:rFonts w:ascii="Arial" w:cs="Arial" w:eastAsia="Arial" w:hAnsi="Arial"/>
          <w:sz w:val="22"/>
          <w:szCs w:val="22"/>
        </w:rPr>
        <w:t>The data management phase establishes the analytical foundation for all subsequent analyses. It encompasses the following activities:</w:t>
      </w:r>
    </w:p>
    <w:p>
      <w:pPr>
        <w:pStyle w:val="style179"/>
        <w:numPr>
          <w:ilvl w:val="0"/>
          <w:numId w:val="3"/>
        </w:numPr>
        <w:spacing w:before="40" w:after="40" w:lineRule="auto" w:line="300"/>
        <w:jc w:val="both"/>
        <w:rPr/>
      </w:pPr>
      <w:r>
        <w:rPr>
          <w:rFonts w:ascii="Arial" w:cs="Arial" w:eastAsia="Arial" w:hAnsi="Arial"/>
          <w:sz w:val="22"/>
          <w:szCs w:val="22"/>
        </w:rPr>
        <w:t>Importation and inspection of all relevant UNHS modules.</w:t>
      </w:r>
    </w:p>
    <w:p>
      <w:pPr>
        <w:pStyle w:val="style179"/>
        <w:numPr>
          <w:ilvl w:val="0"/>
          <w:numId w:val="3"/>
        </w:numPr>
        <w:spacing w:before="40" w:after="40" w:lineRule="auto" w:line="300"/>
        <w:jc w:val="both"/>
        <w:rPr/>
      </w:pPr>
      <w:r>
        <w:rPr>
          <w:rFonts w:ascii="Arial" w:cs="Arial" w:eastAsia="Arial" w:hAnsi="Arial"/>
          <w:sz w:val="22"/>
          <w:szCs w:val="22"/>
        </w:rPr>
        <w:t>Merging of household survey modules using the household identifier (hhid) as the linkage key.</w:t>
      </w:r>
    </w:p>
    <w:p>
      <w:pPr>
        <w:pStyle w:val="style179"/>
        <w:numPr>
          <w:ilvl w:val="0"/>
          <w:numId w:val="3"/>
        </w:numPr>
        <w:spacing w:before="40" w:after="40" w:lineRule="auto" w:line="300"/>
        <w:jc w:val="both"/>
        <w:rPr/>
      </w:pPr>
      <w:r>
        <w:rPr>
          <w:rFonts w:ascii="Arial" w:cs="Arial" w:eastAsia="Arial" w:hAnsi="Arial"/>
          <w:sz w:val="22"/>
          <w:szCs w:val="22"/>
        </w:rPr>
        <w:t>Comprehensive data cleaning: identification and treatment of missing values using appropriate imputation strategies (median imputation for continuous variables, mode imputation for categorical variables) and listwise deletion where missingness exceeds acceptable thresholds.</w:t>
      </w:r>
    </w:p>
    <w:p>
      <w:pPr>
        <w:pStyle w:val="style179"/>
        <w:numPr>
          <w:ilvl w:val="0"/>
          <w:numId w:val="3"/>
        </w:numPr>
        <w:spacing w:before="40" w:after="40" w:lineRule="auto" w:line="300"/>
        <w:jc w:val="both"/>
        <w:rPr/>
      </w:pPr>
      <w:r>
        <w:rPr>
          <w:rFonts w:ascii="Arial" w:cs="Arial" w:eastAsia="Arial" w:hAnsi="Arial"/>
          <w:sz w:val="22"/>
          <w:szCs w:val="22"/>
        </w:rPr>
        <w:t>Outlier detection and treatment using the interquartile range (IQR) method for consumption expenditure and other continuous variables.</w:t>
      </w:r>
    </w:p>
    <w:p>
      <w:pPr>
        <w:pStyle w:val="style179"/>
        <w:numPr>
          <w:ilvl w:val="0"/>
          <w:numId w:val="3"/>
        </w:numPr>
        <w:spacing w:before="40" w:after="40" w:lineRule="auto" w:line="300"/>
        <w:jc w:val="both"/>
        <w:rPr/>
      </w:pPr>
      <w:r>
        <w:rPr>
          <w:rFonts w:ascii="Arial" w:cs="Arial" w:eastAsia="Arial" w:hAnsi="Arial"/>
          <w:sz w:val="22"/>
          <w:szCs w:val="22"/>
        </w:rPr>
        <w:t>Variable recoding and transformation: dichotomization of categorical variables, logarithmic transformation of consumption expenditure to reduce skewness.</w:t>
      </w:r>
    </w:p>
    <w:p>
      <w:pPr>
        <w:pStyle w:val="style179"/>
        <w:numPr>
          <w:ilvl w:val="0"/>
          <w:numId w:val="3"/>
        </w:numPr>
        <w:spacing w:before="40" w:after="40" w:lineRule="auto" w:line="300"/>
        <w:jc w:val="both"/>
        <w:rPr/>
      </w:pPr>
      <w:r>
        <w:rPr>
          <w:rFonts w:ascii="Arial" w:cs="Arial" w:eastAsia="Arial" w:hAnsi="Arial"/>
          <w:sz w:val="22"/>
          <w:szCs w:val="22"/>
        </w:rPr>
        <w:t>Creation of derived indicators: per capita consumption, household dependency ratio, asset ownership indices.</w:t>
      </w:r>
    </w:p>
    <w:p>
      <w:pPr>
        <w:pStyle w:val="style179"/>
        <w:numPr>
          <w:ilvl w:val="0"/>
          <w:numId w:val="3"/>
        </w:numPr>
        <w:spacing w:before="40" w:after="40" w:lineRule="auto" w:line="300"/>
        <w:jc w:val="both"/>
        <w:rPr/>
      </w:pPr>
      <w:r>
        <w:rPr>
          <w:rFonts w:ascii="Arial" w:cs="Arial" w:eastAsia="Arial" w:hAnsi="Arial"/>
          <w:sz w:val="22"/>
          <w:szCs w:val="22"/>
        </w:rPr>
        <w:t>Application of survey weights and specification of the survey design for all subsequent analyses.</w:t>
      </w:r>
    </w:p>
    <w:p>
      <w:pPr>
        <w:pStyle w:val="style179"/>
        <w:numPr>
          <w:ilvl w:val="0"/>
          <w:numId w:val="3"/>
        </w:numPr>
        <w:spacing w:before="40" w:after="40" w:lineRule="auto" w:line="300"/>
        <w:jc w:val="both"/>
        <w:rPr/>
      </w:pPr>
      <w:r>
        <w:rPr>
          <w:rFonts w:ascii="Arial" w:cs="Arial" w:eastAsia="Arial" w:hAnsi="Arial"/>
          <w:sz w:val="22"/>
          <w:szCs w:val="22"/>
        </w:rPr>
        <w:t>Generation of a clean, merged, analysis-ready household-level dataset.</w:t>
      </w:r>
    </w:p>
    <w:p>
      <w:pPr>
        <w:pStyle w:val="style0"/>
        <w:spacing w:before="0" w:after="80"/>
        <w:rPr/>
      </w:pPr>
    </w:p>
    <w:p>
      <w:pPr>
        <w:pStyle w:val="style4098"/>
        <w:spacing w:before="240" w:after="120"/>
        <w:rPr/>
      </w:pPr>
      <w:r>
        <w:rPr>
          <w:rFonts w:ascii="Arial" w:cs="Arial" w:eastAsia="Arial" w:hAnsi="Arial"/>
          <w:b/>
          <w:bCs/>
          <w:color w:val="004d2c"/>
          <w:sz w:val="26"/>
          <w:szCs w:val="26"/>
        </w:rPr>
        <w:t>4.2 Phase 2: Construction of the Inclusive Prosperity Index (Stata)</w:t>
      </w:r>
    </w:p>
    <w:p>
      <w:pPr>
        <w:pStyle w:val="style0"/>
        <w:spacing w:before="80" w:after="80" w:lineRule="auto" w:line="336"/>
        <w:jc w:val="both"/>
        <w:rPr/>
      </w:pPr>
      <w:r>
        <w:rPr>
          <w:rFonts w:ascii="Arial" w:cs="Arial" w:eastAsia="Arial" w:hAnsi="Arial"/>
          <w:sz w:val="22"/>
          <w:szCs w:val="22"/>
        </w:rPr>
        <w:t>The IPI is constructed following a four-step procedure. First, all constituent indicators are standardized to z-scores to ensure dimensional comparability. Second, PCA is executed on the standardized indicators. The number of components retained is determined by the Kaiser criterion (eigenvalues ≥ 1) and the cumulative variance explained threshold of 70%. Third, component scores from the retained components are extracted and weighted by their respective proportions of explained variance. Fourth, the weighted composite score is computed as follows:</w:t>
      </w:r>
    </w:p>
    <w:p>
      <w:pPr>
        <w:pStyle w:val="style0"/>
        <w:spacing w:before="0" w:after="80"/>
        <w:rPr/>
      </w:pPr>
    </w:p>
    <w:p>
      <w:pPr>
        <w:pStyle w:val="style0"/>
        <w:spacing w:before="120" w:after="120"/>
        <w:jc w:val="center"/>
        <w:rPr/>
      </w:pPr>
      <w:r>
        <w:rPr>
          <w:rFonts w:ascii="Courier New" w:cs="Courier New" w:eastAsia="Courier New" w:hAnsi="Courier New"/>
          <w:b/>
          <w:bCs/>
          <w:sz w:val="24"/>
          <w:szCs w:val="24"/>
        </w:rPr>
        <w:t>IPI = Σ (λₖ / Σλ) × PCₖ,     k = 1, 2, ..., K</w:t>
      </w:r>
    </w:p>
    <w:p>
      <w:pPr>
        <w:pStyle w:val="style0"/>
        <w:spacing w:before="80" w:after="80" w:lineRule="auto" w:line="336"/>
        <w:jc w:val="both"/>
        <w:rPr/>
      </w:pPr>
      <w:r>
        <w:rPr>
          <w:rFonts w:ascii="Arial" w:cs="Arial" w:eastAsia="Arial" w:hAnsi="Arial"/>
          <w:sz w:val="22"/>
          <w:szCs w:val="22"/>
        </w:rPr>
        <w:t>where λₖ is the eigenvalue of the k-th retained principal component and PCₖ is the corresponding component score. The resulting IPI scores are rescaled to a 0-100 range and used to classify households into three prosperity categories: Low Prosperity (0–33), Moderate Prosperity (34–66), and High Prosperity (67–100).</w:t>
      </w:r>
    </w:p>
    <w:p>
      <w:pPr>
        <w:pStyle w:val="style0"/>
        <w:spacing w:before="0" w:after="80"/>
        <w:rPr/>
      </w:pPr>
    </w:p>
    <w:p>
      <w:pPr>
        <w:pStyle w:val="style4098"/>
        <w:spacing w:before="240" w:after="120"/>
        <w:rPr/>
      </w:pPr>
      <w:r>
        <w:rPr>
          <w:rFonts w:ascii="Arial" w:cs="Arial" w:eastAsia="Arial" w:hAnsi="Arial"/>
          <w:b/>
          <w:bCs/>
          <w:color w:val="004d2c"/>
          <w:sz w:val="26"/>
          <w:szCs w:val="26"/>
        </w:rPr>
        <w:t>4.3 Phase 3: Descriptive Statistical Analysis (Stata)</w:t>
      </w:r>
    </w:p>
    <w:p>
      <w:pPr>
        <w:pStyle w:val="style0"/>
        <w:spacing w:before="80" w:after="80" w:lineRule="auto" w:line="336"/>
        <w:jc w:val="both"/>
        <w:rPr/>
      </w:pPr>
      <w:r>
        <w:rPr>
          <w:rFonts w:ascii="Arial" w:cs="Arial" w:eastAsia="Arial" w:hAnsi="Arial"/>
          <w:sz w:val="22"/>
          <w:szCs w:val="22"/>
        </w:rPr>
        <w:t>Phase 3 generates a comprehensive statistical profile of household prosperity in Uganda. Analyses include:</w:t>
      </w:r>
    </w:p>
    <w:p>
      <w:pPr>
        <w:pStyle w:val="style179"/>
        <w:numPr>
          <w:ilvl w:val="0"/>
          <w:numId w:val="3"/>
        </w:numPr>
        <w:spacing w:before="40" w:after="40" w:lineRule="auto" w:line="300"/>
        <w:jc w:val="both"/>
        <w:rPr/>
      </w:pPr>
      <w:r>
        <w:rPr>
          <w:rFonts w:ascii="Arial" w:cs="Arial" w:eastAsia="Arial" w:hAnsi="Arial"/>
          <w:sz w:val="22"/>
          <w:szCs w:val="22"/>
        </w:rPr>
        <w:t>Weighted frequencies and percentages for all categorical IPI component indicators.</w:t>
      </w:r>
    </w:p>
    <w:p>
      <w:pPr>
        <w:pStyle w:val="style179"/>
        <w:numPr>
          <w:ilvl w:val="0"/>
          <w:numId w:val="3"/>
        </w:numPr>
        <w:spacing w:before="40" w:after="40" w:lineRule="auto" w:line="300"/>
        <w:jc w:val="both"/>
        <w:rPr/>
      </w:pPr>
      <w:r>
        <w:rPr>
          <w:rFonts w:ascii="Arial" w:cs="Arial" w:eastAsia="Arial" w:hAnsi="Arial"/>
          <w:sz w:val="22"/>
          <w:szCs w:val="22"/>
        </w:rPr>
        <w:t>Weighted means, standard deviations, and confidence intervals for continuous variables.</w:t>
      </w:r>
    </w:p>
    <w:p>
      <w:pPr>
        <w:pStyle w:val="style179"/>
        <w:numPr>
          <w:ilvl w:val="0"/>
          <w:numId w:val="3"/>
        </w:numPr>
        <w:spacing w:before="40" w:after="40" w:lineRule="auto" w:line="300"/>
        <w:jc w:val="both"/>
        <w:rPr/>
      </w:pPr>
      <w:r>
        <w:rPr>
          <w:rFonts w:ascii="Arial" w:cs="Arial" w:eastAsia="Arial" w:hAnsi="Arial"/>
          <w:sz w:val="22"/>
          <w:szCs w:val="22"/>
        </w:rPr>
        <w:t>Cross-tabulations of prosperity categories by region (Central, Eastern, Northern, Western), urban-rural location, and gender of household head.</w:t>
      </w:r>
    </w:p>
    <w:p>
      <w:pPr>
        <w:pStyle w:val="style179"/>
        <w:numPr>
          <w:ilvl w:val="0"/>
          <w:numId w:val="3"/>
        </w:numPr>
        <w:spacing w:before="40" w:after="40" w:lineRule="auto" w:line="300"/>
        <w:jc w:val="both"/>
        <w:rPr/>
      </w:pPr>
      <w:r>
        <w:rPr>
          <w:rFonts w:ascii="Arial" w:cs="Arial" w:eastAsia="Arial" w:hAnsi="Arial"/>
          <w:sz w:val="22"/>
          <w:szCs w:val="22"/>
        </w:rPr>
        <w:t>Radar charts and bar charts of regional prosperity profiles across the five IPI dimensions.</w:t>
      </w:r>
    </w:p>
    <w:p>
      <w:pPr>
        <w:pStyle w:val="style0"/>
        <w:spacing w:before="0" w:after="80"/>
        <w:rPr/>
      </w:pPr>
    </w:p>
    <w:p>
      <w:pPr>
        <w:pStyle w:val="style4098"/>
        <w:spacing w:before="240" w:after="120"/>
        <w:rPr/>
      </w:pPr>
      <w:r>
        <w:rPr>
          <w:rFonts w:ascii="Arial" w:cs="Arial" w:eastAsia="Arial" w:hAnsi="Arial"/>
          <w:b/>
          <w:bCs/>
          <w:color w:val="004d2c"/>
          <w:sz w:val="26"/>
          <w:szCs w:val="26"/>
        </w:rPr>
        <w:t>4.4 Phase 4: Inferential and Econometric Analysis (Stata)</w:t>
      </w:r>
    </w:p>
    <w:p>
      <w:pPr>
        <w:pStyle w:val="style0"/>
        <w:spacing w:before="80" w:after="80" w:lineRule="auto" w:line="336"/>
        <w:jc w:val="both"/>
        <w:rPr/>
      </w:pPr>
      <w:r>
        <w:rPr>
          <w:rFonts w:ascii="Arial" w:cs="Arial" w:eastAsia="Arial" w:hAnsi="Arial"/>
          <w:sz w:val="22"/>
          <w:szCs w:val="22"/>
        </w:rPr>
        <w:t>Phase 4 moves beyond description to identify statistically significant associations and determinants of household prosperity:</w:t>
      </w:r>
    </w:p>
    <w:p>
      <w:pPr>
        <w:pStyle w:val="style179"/>
        <w:numPr>
          <w:ilvl w:val="0"/>
          <w:numId w:val="3"/>
        </w:numPr>
        <w:spacing w:before="40" w:after="40" w:lineRule="auto" w:line="300"/>
        <w:jc w:val="both"/>
        <w:rPr/>
      </w:pPr>
      <w:r>
        <w:rPr>
          <w:rFonts w:ascii="Arial" w:cs="Arial" w:eastAsia="Arial" w:hAnsi="Arial"/>
          <w:sz w:val="22"/>
          <w:szCs w:val="22"/>
        </w:rPr>
        <w:t>Chi-Square Tests: assess independence between prosperity categories and categorical socioeconomic characteristics (region, gender, urban-rural, employment sector).</w:t>
      </w:r>
    </w:p>
    <w:p>
      <w:pPr>
        <w:pStyle w:val="style179"/>
        <w:numPr>
          <w:ilvl w:val="0"/>
          <w:numId w:val="3"/>
        </w:numPr>
        <w:spacing w:before="40" w:after="40" w:lineRule="auto" w:line="300"/>
        <w:jc w:val="both"/>
        <w:rPr/>
      </w:pPr>
      <w:r>
        <w:rPr>
          <w:rFonts w:ascii="Arial" w:cs="Arial" w:eastAsia="Arial" w:hAnsi="Arial"/>
          <w:sz w:val="22"/>
          <w:szCs w:val="22"/>
        </w:rPr>
        <w:t>Analysis of Variance (ANOVA): test for significant mean differences in IPI scores across regional and demographic subgroups.</w:t>
      </w:r>
    </w:p>
    <w:p>
      <w:pPr>
        <w:pStyle w:val="style179"/>
        <w:numPr>
          <w:ilvl w:val="0"/>
          <w:numId w:val="3"/>
        </w:numPr>
        <w:spacing w:before="40" w:after="40" w:lineRule="auto" w:line="300"/>
        <w:jc w:val="both"/>
        <w:rPr/>
      </w:pPr>
      <w:r>
        <w:rPr>
          <w:rFonts w:ascii="Arial" w:cs="Arial" w:eastAsia="Arial" w:hAnsi="Arial"/>
          <w:sz w:val="22"/>
          <w:szCs w:val="22"/>
        </w:rPr>
        <w:t>Correlation Analysis: Pearson and Spearman correlations between IPI scores and key continuous indicators.</w:t>
      </w:r>
    </w:p>
    <w:p>
      <w:pPr>
        <w:pStyle w:val="style179"/>
        <w:numPr>
          <w:ilvl w:val="0"/>
          <w:numId w:val="3"/>
        </w:numPr>
        <w:spacing w:before="40" w:after="40" w:lineRule="auto" w:line="300"/>
        <w:jc w:val="both"/>
        <w:rPr/>
      </w:pPr>
      <w:r>
        <w:rPr>
          <w:rFonts w:ascii="Arial" w:cs="Arial" w:eastAsia="Arial" w:hAnsi="Arial"/>
          <w:sz w:val="22"/>
          <w:szCs w:val="22"/>
        </w:rPr>
        <w:t>Multiple Linear Regression: regress IPI scores on a comprehensive set of household-level covariates to identify significant continuous determinants.</w:t>
      </w:r>
    </w:p>
    <w:p>
      <w:pPr>
        <w:pStyle w:val="style179"/>
        <w:numPr>
          <w:ilvl w:val="0"/>
          <w:numId w:val="3"/>
        </w:numPr>
        <w:spacing w:before="40" w:after="40" w:lineRule="auto" w:line="300"/>
        <w:jc w:val="both"/>
        <w:rPr/>
      </w:pPr>
      <w:r>
        <w:rPr>
          <w:rFonts w:ascii="Arial" w:cs="Arial" w:eastAsia="Arial" w:hAnsi="Arial"/>
          <w:sz w:val="22"/>
          <w:szCs w:val="22"/>
        </w:rPr>
        <w:t>Logistic Regression: predict binary prosperity status (high vs. low-moderate) using the full covariate set. Survey-adjusted odds ratios are reported with 95% confidence intervals.</w:t>
      </w:r>
    </w:p>
    <w:p>
      <w:pPr>
        <w:pStyle w:val="style179"/>
        <w:numPr>
          <w:ilvl w:val="0"/>
          <w:numId w:val="3"/>
        </w:numPr>
        <w:spacing w:before="40" w:after="40" w:lineRule="auto" w:line="300"/>
        <w:jc w:val="both"/>
        <w:rPr/>
      </w:pPr>
      <w:r>
        <w:rPr>
          <w:rFonts w:ascii="Arial" w:cs="Arial" w:eastAsia="Arial" w:hAnsi="Arial"/>
          <w:sz w:val="22"/>
          <w:szCs w:val="22"/>
        </w:rPr>
        <w:t>All models apply survey-adjusted estimation (svy: regress, svy: logistic) to account for the complex sample design.</w:t>
      </w:r>
    </w:p>
    <w:p>
      <w:pPr>
        <w:pStyle w:val="style0"/>
        <w:spacing w:before="0" w:after="80"/>
        <w:rPr/>
      </w:pPr>
    </w:p>
    <w:p>
      <w:pPr>
        <w:pStyle w:val="style4098"/>
        <w:spacing w:before="240" w:after="120"/>
        <w:rPr/>
      </w:pPr>
      <w:r>
        <w:rPr>
          <w:rFonts w:ascii="Arial" w:cs="Arial" w:eastAsia="Arial" w:hAnsi="Arial"/>
          <w:b/>
          <w:bCs/>
          <w:color w:val="004d2c"/>
          <w:sz w:val="26"/>
          <w:szCs w:val="26"/>
        </w:rPr>
        <w:t>4.5 Phase 5: Machine Learning and Predictive Analytics (Python)</w:t>
      </w:r>
    </w:p>
    <w:p>
      <w:pPr>
        <w:pStyle w:val="style0"/>
        <w:spacing w:before="80" w:after="80" w:lineRule="auto" w:line="336"/>
        <w:jc w:val="both"/>
        <w:rPr/>
      </w:pPr>
      <w:r>
        <w:rPr>
          <w:rFonts w:ascii="Arial" w:cs="Arial" w:eastAsia="Arial" w:hAnsi="Arial"/>
          <w:sz w:val="22"/>
          <w:szCs w:val="22"/>
        </w:rPr>
        <w:t>Phase 5 employs two ensemble machine learning algorithms to predict household prosperity categories and identify the most important predictors:</w:t>
      </w:r>
    </w:p>
    <w:p>
      <w:pPr>
        <w:pStyle w:val="style4099"/>
        <w:spacing w:before="200" w:after="80"/>
        <w:rPr/>
      </w:pPr>
      <w:r>
        <w:rPr>
          <w:rFonts w:ascii="Arial" w:cs="Arial" w:eastAsia="Arial" w:hAnsi="Arial"/>
          <w:b/>
          <w:bCs/>
          <w:color w:val="4a5e52"/>
          <w:sz w:val="22"/>
          <w:szCs w:val="22"/>
        </w:rPr>
        <w:t>4.5.1 Random Forest</w:t>
      </w:r>
    </w:p>
    <w:p>
      <w:pPr>
        <w:pStyle w:val="style0"/>
        <w:spacing w:before="80" w:after="80" w:lineRule="auto" w:line="336"/>
        <w:jc w:val="both"/>
        <w:rPr/>
      </w:pPr>
      <w:r>
        <w:rPr>
          <w:rFonts w:ascii="Arial" w:cs="Arial" w:eastAsia="Arial" w:hAnsi="Arial"/>
          <w:sz w:val="22"/>
          <w:szCs w:val="22"/>
        </w:rPr>
        <w:t>Random Forest (Breiman, 2001) is an ensemble learning method that constructs a multitude of decision trees during training and outputs the mode of the classes (classification) or mean prediction (regression) of the individual trees. It is particularly suited to this application given its robustness to outliers, ability to handle non-linear relationships, and built-in feature importance measures (mean decrease in Gini impurity). The model is trained on 80% of the household dataset and evaluated on the remaining 20%, stratified by prosperity category to address class imbalance.</w:t>
      </w:r>
    </w:p>
    <w:p>
      <w:pPr>
        <w:pStyle w:val="style0"/>
        <w:spacing w:before="0" w:after="80"/>
        <w:rPr/>
      </w:pPr>
    </w:p>
    <w:p>
      <w:pPr>
        <w:pStyle w:val="style4099"/>
        <w:spacing w:before="200" w:after="80"/>
        <w:rPr/>
      </w:pPr>
      <w:r>
        <w:rPr>
          <w:rFonts w:ascii="Arial" w:cs="Arial" w:eastAsia="Arial" w:hAnsi="Arial"/>
          <w:b/>
          <w:bCs/>
          <w:color w:val="4a5e52"/>
          <w:sz w:val="22"/>
          <w:szCs w:val="22"/>
        </w:rPr>
        <w:t>4.5.2 XGBoost</w:t>
      </w:r>
    </w:p>
    <w:p>
      <w:pPr>
        <w:pStyle w:val="style0"/>
        <w:spacing w:before="80" w:after="80" w:lineRule="auto" w:line="336"/>
        <w:jc w:val="both"/>
        <w:rPr/>
      </w:pPr>
      <w:r>
        <w:rPr>
          <w:rFonts w:ascii="Arial" w:cs="Arial" w:eastAsia="Arial" w:hAnsi="Arial"/>
          <w:sz w:val="22"/>
          <w:szCs w:val="22"/>
        </w:rPr>
        <w:t>Extreme Gradient Boosting (Chen &amp; Guestrin, 2016) is a gradient boosting framework that sequentially builds decision trees, with each successive tree correcting the errors of its predecessor. XGBoost has demonstrated state-of-the-art performance on tabular data across a wide range of classification tasks. Hyperparameter tuning is performed via GridSearchCV with 5-fold cross-validation, optimizing for F1-score to balance precision and recall across prosperity classes.</w:t>
      </w:r>
    </w:p>
    <w:p>
      <w:pPr>
        <w:pStyle w:val="style0"/>
        <w:spacing w:before="0" w:after="80"/>
        <w:rPr/>
      </w:pPr>
    </w:p>
    <w:p>
      <w:pPr>
        <w:pStyle w:val="style4099"/>
        <w:spacing w:before="200" w:after="80"/>
        <w:rPr/>
      </w:pPr>
      <w:r>
        <w:rPr>
          <w:rFonts w:ascii="Arial" w:cs="Arial" w:eastAsia="Arial" w:hAnsi="Arial"/>
          <w:b/>
          <w:bCs/>
          <w:color w:val="4a5e52"/>
          <w:sz w:val="22"/>
          <w:szCs w:val="22"/>
        </w:rPr>
        <w:t>4.5.3 Evaluation Metrics</w:t>
      </w:r>
    </w:p>
    <w:p>
      <w:pPr>
        <w:pStyle w:val="style0"/>
        <w:spacing w:before="80" w:after="80" w:lineRule="auto" w:line="336"/>
        <w:jc w:val="both"/>
        <w:rPr/>
      </w:pPr>
      <w:r>
        <w:rPr>
          <w:rFonts w:ascii="Arial" w:cs="Arial" w:eastAsia="Arial" w:hAnsi="Arial"/>
          <w:sz w:val="22"/>
          <w:szCs w:val="22"/>
        </w:rPr>
        <w:t>Both models are evaluated using the following metrics: Classification Accuracy, Precision, Recall, F1-Score (weighted), and Area Under the ROC Curve (AUC-ROC). Feature importance plots are generated for both models to identify the most influential predictors of prosperity.</w:t>
      </w:r>
    </w:p>
    <w:p>
      <w:pPr>
        <w:pStyle w:val="style0"/>
        <w:spacing w:before="0" w:after="80"/>
        <w:rPr/>
      </w:pPr>
    </w:p>
    <w:p>
      <w:pPr>
        <w:pStyle w:val="style4098"/>
        <w:spacing w:before="240" w:after="120"/>
        <w:rPr/>
      </w:pPr>
      <w:r>
        <w:rPr>
          <w:rFonts w:ascii="Arial" w:cs="Arial" w:eastAsia="Arial" w:hAnsi="Arial"/>
          <w:b/>
          <w:bCs/>
          <w:color w:val="004d2c"/>
          <w:sz w:val="26"/>
          <w:szCs w:val="26"/>
        </w:rPr>
        <w:t>4.6 Phase 6: Robustness and Sensitivity Analysis (Stata &amp; Python)</w:t>
      </w:r>
    </w:p>
    <w:p>
      <w:pPr>
        <w:pStyle w:val="style0"/>
        <w:spacing w:before="80" w:after="80" w:lineRule="auto" w:line="336"/>
        <w:jc w:val="both"/>
        <w:rPr/>
      </w:pPr>
      <w:r>
        <w:rPr>
          <w:rFonts w:ascii="Arial" w:cs="Arial" w:eastAsia="Arial" w:hAnsi="Arial"/>
          <w:sz w:val="22"/>
          <w:szCs w:val="22"/>
        </w:rPr>
        <w:t>To ensure that findings are not artefacts of specific methodological choices, six robustness checks are implemented:</w:t>
      </w:r>
    </w:p>
    <w:p>
      <w:pPr>
        <w:pStyle w:val="style179"/>
        <w:numPr>
          <w:ilvl w:val="0"/>
          <w:numId w:val="3"/>
        </w:numPr>
        <w:spacing w:before="40" w:after="40" w:lineRule="auto" w:line="300"/>
        <w:jc w:val="both"/>
        <w:rPr/>
      </w:pPr>
      <w:r>
        <w:rPr>
          <w:rFonts w:ascii="Arial" w:cs="Arial" w:eastAsia="Arial" w:hAnsi="Arial"/>
          <w:sz w:val="22"/>
          <w:szCs w:val="22"/>
        </w:rPr>
        <w:t>Alternative Index Construction: the PCA-based IPI is compared with an equal-weight IPI. Spearman rank correlations between household rankings under both approaches are computed.</w:t>
      </w:r>
    </w:p>
    <w:p>
      <w:pPr>
        <w:pStyle w:val="style179"/>
        <w:numPr>
          <w:ilvl w:val="0"/>
          <w:numId w:val="3"/>
        </w:numPr>
        <w:spacing w:before="40" w:after="40" w:lineRule="auto" w:line="300"/>
        <w:jc w:val="both"/>
        <w:rPr/>
      </w:pPr>
      <w:r>
        <w:rPr>
          <w:rFonts w:ascii="Arial" w:cs="Arial" w:eastAsia="Arial" w:hAnsi="Arial"/>
          <w:sz w:val="22"/>
          <w:szCs w:val="22"/>
        </w:rPr>
        <w:t>Variable Sensitivity Analysis: the IPI is reconstructed six times, each time excluding one dimension. Changes in household prosperity rankings are assessed.</w:t>
      </w:r>
    </w:p>
    <w:p>
      <w:pPr>
        <w:pStyle w:val="style179"/>
        <w:numPr>
          <w:ilvl w:val="0"/>
          <w:numId w:val="3"/>
        </w:numPr>
        <w:spacing w:before="40" w:after="40" w:lineRule="auto" w:line="300"/>
        <w:jc w:val="both"/>
        <w:rPr/>
      </w:pPr>
      <w:r>
        <w:rPr>
          <w:rFonts w:ascii="Arial" w:cs="Arial" w:eastAsia="Arial" w:hAnsi="Arial"/>
          <w:sz w:val="22"/>
          <w:szCs w:val="22"/>
        </w:rPr>
        <w:t>Alternative Econometric Specifications: logistic regression results are benchmarked against probit regression. Coefficient magnitudes and statistical significance are compared.</w:t>
      </w:r>
    </w:p>
    <w:p>
      <w:pPr>
        <w:pStyle w:val="style179"/>
        <w:numPr>
          <w:ilvl w:val="0"/>
          <w:numId w:val="3"/>
        </w:numPr>
        <w:spacing w:before="40" w:after="40" w:lineRule="auto" w:line="300"/>
        <w:jc w:val="both"/>
        <w:rPr/>
      </w:pPr>
      <w:r>
        <w:rPr>
          <w:rFonts w:ascii="Arial" w:cs="Arial" w:eastAsia="Arial" w:hAnsi="Arial"/>
          <w:sz w:val="22"/>
          <w:szCs w:val="22"/>
        </w:rPr>
        <w:t>Regional Subsample Analysis: all econometric models are estimated separately for the four regions (Central, Eastern, Northern, Western) to assess whether determinants of prosperity are consistent across Uganda's heterogeneous regions.</w:t>
      </w:r>
    </w:p>
    <w:p>
      <w:pPr>
        <w:pStyle w:val="style179"/>
        <w:numPr>
          <w:ilvl w:val="0"/>
          <w:numId w:val="3"/>
        </w:numPr>
        <w:spacing w:before="40" w:after="40" w:lineRule="auto" w:line="300"/>
        <w:jc w:val="both"/>
        <w:rPr/>
      </w:pPr>
      <w:r>
        <w:rPr>
          <w:rFonts w:ascii="Arial" w:cs="Arial" w:eastAsia="Arial" w:hAnsi="Arial"/>
          <w:sz w:val="22"/>
          <w:szCs w:val="22"/>
        </w:rPr>
        <w:t>Survey Weight Sensitivity: all key estimates are computed with and without survey weights. Differences in point estimates and statistical significance are documented.</w:t>
      </w:r>
    </w:p>
    <w:p>
      <w:pPr>
        <w:pStyle w:val="style179"/>
        <w:numPr>
          <w:ilvl w:val="0"/>
          <w:numId w:val="3"/>
        </w:numPr>
        <w:spacing w:before="40" w:after="40" w:lineRule="auto" w:line="300"/>
        <w:jc w:val="both"/>
        <w:rPr/>
      </w:pPr>
      <w:r>
        <w:rPr>
          <w:rFonts w:ascii="Arial" w:cs="Arial" w:eastAsia="Arial" w:hAnsi="Arial"/>
          <w:sz w:val="22"/>
          <w:szCs w:val="22"/>
        </w:rPr>
        <w:t>Machine Learning Cross-Validation: 10-fold cross-validation is applied to both Random Forest and XGBoost models. The mean and standard deviation of F1-scores across folds are reported as evidence of model stability.</w:t>
      </w:r>
    </w:p>
    <w:p>
      <w:pPr>
        <w:pStyle w:val="style0"/>
        <w:spacing w:before="0" w:after="80"/>
        <w:rPr/>
      </w:pPr>
    </w:p>
    <w:p>
      <w:pPr>
        <w:pStyle w:val="style4098"/>
        <w:spacing w:before="240" w:after="120"/>
        <w:rPr/>
      </w:pPr>
      <w:r>
        <w:rPr>
          <w:rFonts w:ascii="Arial" w:cs="Arial" w:eastAsia="Arial" w:hAnsi="Arial"/>
          <w:b/>
          <w:bCs/>
          <w:color w:val="004d2c"/>
          <w:sz w:val="26"/>
          <w:szCs w:val="26"/>
        </w:rPr>
        <w:t>4.7 Phase 7: Data Visualization and Dashboard Development (Power BI)</w:t>
      </w:r>
    </w:p>
    <w:p>
      <w:pPr>
        <w:pStyle w:val="style0"/>
        <w:spacing w:before="80" w:after="80" w:lineRule="auto" w:line="336"/>
        <w:jc w:val="both"/>
        <w:rPr/>
      </w:pPr>
      <w:r>
        <w:rPr>
          <w:rFonts w:ascii="Arial" w:cs="Arial" w:eastAsia="Arial" w:hAnsi="Arial"/>
          <w:sz w:val="22"/>
          <w:szCs w:val="22"/>
        </w:rPr>
        <w:t>The analytical outputs from Phases 2-6 are imported into Power BI for the development of an interactive, policy-oriented dashboard. The dashboard includes: a choropleth map of Uganda at district and regional level, with IPI scores mapped using a gradient colour scheme; regional and sub-regional prosperity ranking panels; KPI cards for each IPI dimension; dynamic filters by region, urban-rural classification, and gender of household head; and drill-down functionality enabling users to explore district-level data.</w:t>
      </w:r>
    </w:p>
    <w:p>
      <w:pPr>
        <w:pStyle w:val="style0"/>
        <w:spacing w:before="0" w:after="80"/>
        <w:rPr/>
      </w:pPr>
    </w:p>
    <w:p>
      <w:pPr>
        <w:pStyle w:val="style4098"/>
        <w:spacing w:before="240" w:after="120"/>
        <w:rPr/>
      </w:pPr>
      <w:r>
        <w:rPr>
          <w:rFonts w:ascii="Arial" w:cs="Arial" w:eastAsia="Arial" w:hAnsi="Arial"/>
          <w:b/>
          <w:bCs/>
          <w:color w:val="004d2c"/>
          <w:sz w:val="26"/>
          <w:szCs w:val="26"/>
        </w:rPr>
        <w:t>4.8 Phase 8: Research Reporting and Presentation</w:t>
      </w:r>
    </w:p>
    <w:p>
      <w:pPr>
        <w:pStyle w:val="style0"/>
        <w:spacing w:before="80" w:after="80" w:lineRule="auto" w:line="336"/>
        <w:jc w:val="both"/>
        <w:rPr/>
      </w:pPr>
      <w:r>
        <w:rPr>
          <w:rFonts w:ascii="Arial" w:cs="Arial" w:eastAsia="Arial" w:hAnsi="Arial"/>
          <w:sz w:val="22"/>
          <w:szCs w:val="22"/>
        </w:rPr>
        <w:t>Final outputs are synthesized into a comprehensive research report and a presentation prepared for the African Statistics Day 2025. Policy recommendations are structured around the five IPI dimensions, with specific, actionable guidance for UBOS, MoFPED, district local governments, and development partners.</w:t>
      </w:r>
    </w:p>
    <w:p>
      <w:pPr>
        <w:pStyle w:val="style0"/>
        <w:rPr/>
      </w:pPr>
      <w:r>
        <w:br/>
      </w:r>
      <w:r>
        <w:br w:type="page"/>
      </w:r>
    </w:p>
    <w:p>
      <w:pPr>
        <w:pStyle w:val="style4097"/>
        <w:spacing w:before="360" w:after="160"/>
        <w:rPr/>
      </w:pPr>
      <w:r>
        <w:rPr>
          <w:rFonts w:ascii="Arial" w:cs="Arial" w:eastAsia="Arial" w:hAnsi="Arial"/>
          <w:b/>
          <w:bCs/>
          <w:color w:val="004d2c"/>
          <w:sz w:val="32"/>
          <w:szCs w:val="32"/>
        </w:rPr>
        <w:t>5. IPI DIMENSIONS, INDICATORS, AND MEASUREMENT</w:t>
      </w:r>
    </w:p>
    <w:p>
      <w:pPr>
        <w:pStyle w:val="style0"/>
        <w:spacing w:before="80" w:after="80" w:lineRule="auto" w:line="336"/>
        <w:jc w:val="both"/>
        <w:rPr/>
      </w:pPr>
      <w:r>
        <w:rPr>
          <w:rFonts w:ascii="Arial" w:cs="Arial" w:eastAsia="Arial" w:hAnsi="Arial"/>
          <w:sz w:val="22"/>
          <w:szCs w:val="22"/>
        </w:rPr>
        <w:t>The Inclusive Prosperity Index is constructed from five theoretically grounded and empirically measurable dimensions. Table 1 provides a complete inventory of the dimensions, constituent indicators, measurement approach, and UNHS data module source.</w:t>
      </w:r>
    </w:p>
    <w:p>
      <w:pPr>
        <w:pStyle w:val="style0"/>
        <w:spacing w:before="0"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400"/>
        <w:gridCol w:w="2400"/>
        <w:gridCol w:w="2760"/>
      </w:tblGrid>
      <w:tr>
        <w:trPr/>
        <w:tc>
          <w:tcPr>
            <w:tcW w:w="18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vAlign w:val="center"/>
          </w:tcPr>
          <w:p>
            <w:pPr>
              <w:pStyle w:val="style0"/>
              <w:jc w:val="center"/>
              <w:rPr/>
            </w:pPr>
            <w:r>
              <w:rPr>
                <w:rFonts w:ascii="Arial" w:cs="Arial" w:eastAsia="Arial" w:hAnsi="Arial"/>
                <w:b/>
                <w:bCs/>
                <w:color w:val="ffffff"/>
                <w:sz w:val="20"/>
                <w:szCs w:val="20"/>
              </w:rPr>
              <w:t>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vAlign w:val="center"/>
          </w:tcPr>
          <w:p>
            <w:pPr>
              <w:pStyle w:val="style0"/>
              <w:jc w:val="center"/>
              <w:rPr/>
            </w:pPr>
            <w:r>
              <w:rPr>
                <w:rFonts w:ascii="Arial" w:cs="Arial" w:eastAsia="Arial" w:hAnsi="Arial"/>
                <w:b/>
                <w:bCs/>
                <w:color w:val="ffffff"/>
                <w:sz w:val="20"/>
                <w:szCs w:val="20"/>
              </w:rPr>
              <w:t>Indicator</w:t>
            </w:r>
          </w:p>
        </w:tc>
        <w:tc>
          <w:tcPr>
            <w:tcW w:w="240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vAlign w:val="center"/>
          </w:tcPr>
          <w:p>
            <w:pPr>
              <w:pStyle w:val="style0"/>
              <w:jc w:val="center"/>
              <w:rPr/>
            </w:pPr>
            <w:r>
              <w:rPr>
                <w:rFonts w:ascii="Arial" w:cs="Arial" w:eastAsia="Arial" w:hAnsi="Arial"/>
                <w:b/>
                <w:bCs/>
                <w:color w:val="ffffff"/>
                <w:sz w:val="20"/>
                <w:szCs w:val="20"/>
              </w:rPr>
              <w:t>Measurement</w:t>
            </w:r>
          </w:p>
        </w:tc>
        <w:tc>
          <w:tcPr>
            <w:tcW w:w="2760" w:type="dxa"/>
            <w:tcBorders>
              <w:top w:val="single" w:sz="1" w:space="0" w:color="cccccc"/>
              <w:left w:val="single" w:sz="1" w:space="0" w:color="cccccc"/>
              <w:bottom w:val="single" w:sz="1" w:space="0" w:color="cccccc"/>
              <w:right w:val="single" w:sz="1" w:space="0" w:color="cccccc"/>
            </w:tcBorders>
            <w:shd w:val="clear" w:color="auto" w:fill="004d2c"/>
            <w:tcMar>
              <w:top w:w="80" w:type="dxa"/>
              <w:left w:w="120" w:type="dxa"/>
              <w:bottom w:w="80" w:type="dxa"/>
              <w:right w:w="120" w:type="dxa"/>
            </w:tcMar>
            <w:vAlign w:val="center"/>
          </w:tcPr>
          <w:p>
            <w:pPr>
              <w:pStyle w:val="style0"/>
              <w:jc w:val="center"/>
              <w:rPr/>
            </w:pPr>
            <w:r>
              <w:rPr>
                <w:rFonts w:ascii="Arial" w:cs="Arial" w:eastAsia="Arial" w:hAnsi="Arial"/>
                <w:b/>
                <w:bCs/>
                <w:color w:val="ffffff"/>
                <w:sz w:val="20"/>
                <w:szCs w:val="20"/>
              </w:rPr>
              <w:t>UNHS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60" w:type="dxa"/>
              <w:left w:w="120" w:type="dxa"/>
              <w:bottom w:w="60" w:type="dxa"/>
              <w:right w:w="120" w:type="dxa"/>
            </w:tcMar>
          </w:tcPr>
          <w:p>
            <w:pPr>
              <w:pStyle w:val="style0"/>
              <w:jc w:val="left"/>
              <w:rPr/>
            </w:pPr>
            <w:r>
              <w:rPr>
                <w:rFonts w:ascii="Arial" w:cs="Arial" w:eastAsia="Arial" w:hAnsi="Arial"/>
                <w:b/>
                <w:bCs/>
                <w:sz w:val="20"/>
                <w:szCs w:val="20"/>
              </w:rPr>
              <w:t>Economic Wellbeing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Household consumption expenditure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Log per adult equivalent consumption (UGX)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Consumption &amp; Expenditure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60" w:type="dxa"/>
              <w:left w:w="120" w:type="dxa"/>
              <w:bottom w:w="60" w:type="dxa"/>
              <w:right w:w="120" w:type="dxa"/>
            </w:tcMar>
          </w:tcPr>
          <w:p>
            <w:pPr>
              <w:pStyle w:val="style0"/>
              <w:jc w:val="left"/>
              <w:rPr/>
            </w:pP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Employment status</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employed, 0 = unemployed/inactive</w:t>
            </w:r>
          </w:p>
        </w:tc>
        <w:tc>
          <w:tcPr>
            <w:tcW w:w="27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Employment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60" w:type="dxa"/>
              <w:left w:w="120" w:type="dxa"/>
              <w:bottom w:w="60" w:type="dxa"/>
              <w:right w:w="120" w:type="dxa"/>
            </w:tcMar>
          </w:tcPr>
          <w:p>
            <w:pPr>
              <w:pStyle w:val="style0"/>
              <w:jc w:val="left"/>
              <w:rP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Income-generating activities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engaged, 0 = not engaged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Livelihoods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0f0f7"/>
            <w:tcMar>
              <w:top w:w="60" w:type="dxa"/>
              <w:left w:w="120" w:type="dxa"/>
              <w:bottom w:w="60" w:type="dxa"/>
              <w:right w:w="120" w:type="dxa"/>
            </w:tcMar>
          </w:tcPr>
          <w:p>
            <w:pPr>
              <w:pStyle w:val="style0"/>
              <w:jc w:val="left"/>
              <w:rPr/>
            </w:pPr>
            <w:r>
              <w:rPr>
                <w:rFonts w:ascii="Arial" w:cs="Arial" w:eastAsia="Arial" w:hAnsi="Arial"/>
                <w:b/>
                <w:bCs/>
                <w:sz w:val="20"/>
                <w:szCs w:val="20"/>
              </w:rPr>
              <w:t>Education</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Educational attainment (HH head)</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Ordinal: 0=None, 1=Primary, 2=Secondary, 3=Tertiary</w:t>
            </w:r>
          </w:p>
        </w:tc>
        <w:tc>
          <w:tcPr>
            <w:tcW w:w="27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Education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0f0f7"/>
            <w:tcMar>
              <w:top w:w="60" w:type="dxa"/>
              <w:left w:w="120" w:type="dxa"/>
              <w:bottom w:w="60" w:type="dxa"/>
              <w:right w:w="120" w:type="dxa"/>
            </w:tcMar>
          </w:tcPr>
          <w:p>
            <w:pPr>
              <w:pStyle w:val="style0"/>
              <w:jc w:val="left"/>
              <w:rP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School attendance (children 6-17)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Proportion of school-age children attending school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Education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20" w:type="dxa"/>
              <w:bottom w:w="60" w:type="dxa"/>
              <w:right w:w="120" w:type="dxa"/>
            </w:tcMar>
          </w:tcPr>
          <w:p>
            <w:pPr>
              <w:pStyle w:val="style0"/>
              <w:jc w:val="left"/>
              <w:rPr/>
            </w:pPr>
            <w:r>
              <w:rPr>
                <w:rFonts w:ascii="Arial" w:cs="Arial" w:eastAsia="Arial" w:hAnsi="Arial"/>
                <w:b/>
                <w:bCs/>
                <w:sz w:val="20"/>
                <w:szCs w:val="20"/>
              </w:rPr>
              <w:t>Housing &amp; Living Standards</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Access to electricity</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electricity, 0 = no electricity</w:t>
            </w:r>
          </w:p>
        </w:tc>
        <w:tc>
          <w:tcPr>
            <w:tcW w:w="27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Housing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20" w:type="dxa"/>
              <w:bottom w:w="60" w:type="dxa"/>
              <w:right w:w="120" w:type="dxa"/>
            </w:tcMar>
          </w:tcPr>
          <w:p>
            <w:pPr>
              <w:pStyle w:val="style0"/>
              <w:jc w:val="left"/>
              <w:rP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Housing quality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Composite: floor, roof, wall material quality score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Housing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20" w:type="dxa"/>
              <w:bottom w:w="60" w:type="dxa"/>
              <w:right w:w="120" w:type="dxa"/>
            </w:tcMar>
          </w:tcPr>
          <w:p>
            <w:pPr>
              <w:pStyle w:val="style0"/>
              <w:jc w:val="left"/>
              <w:rPr/>
            </w:pP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Safe drinking water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improved source, 0 = unimproved</w:t>
            </w:r>
          </w:p>
        </w:tc>
        <w:tc>
          <w:tcPr>
            <w:tcW w:w="27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Housing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20" w:type="dxa"/>
              <w:bottom w:w="60" w:type="dxa"/>
              <w:right w:w="120" w:type="dxa"/>
            </w:tcMar>
          </w:tcPr>
          <w:p>
            <w:pPr>
              <w:pStyle w:val="style0"/>
              <w:jc w:val="left"/>
              <w:rP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Improved sanitation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improved toilet, 0 = open defecation/unimproved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Housing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pPr>
              <w:pStyle w:val="style0"/>
              <w:jc w:val="left"/>
              <w:rPr/>
            </w:pPr>
            <w:r>
              <w:rPr>
                <w:rFonts w:ascii="Arial" w:cs="Arial" w:eastAsia="Arial" w:hAnsi="Arial"/>
                <w:b/>
                <w:bCs/>
                <w:sz w:val="20"/>
                <w:szCs w:val="20"/>
              </w:rPr>
              <w:t>Digital Inclusion</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Internet access</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internet access, 0 = no access</w:t>
            </w:r>
          </w:p>
        </w:tc>
        <w:tc>
          <w:tcPr>
            <w:tcW w:w="27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ICT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pPr>
              <w:pStyle w:val="style0"/>
              <w:jc w:val="left"/>
              <w:rP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Mobile phone ownership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owns mobile phone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ICT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20" w:type="dxa"/>
              <w:bottom w:w="60" w:type="dxa"/>
              <w:right w:w="120" w:type="dxa"/>
            </w:tcMar>
          </w:tcPr>
          <w:p>
            <w:pPr>
              <w:pStyle w:val="style0"/>
              <w:jc w:val="left"/>
              <w:rPr/>
            </w:pP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Computer ownership</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owns computer/tablet</w:t>
            </w:r>
          </w:p>
        </w:tc>
        <w:tc>
          <w:tcPr>
            <w:tcW w:w="27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ICT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pPr>
              <w:pStyle w:val="style0"/>
              <w:jc w:val="left"/>
              <w:rPr/>
            </w:pPr>
            <w:r>
              <w:rPr>
                <w:rFonts w:ascii="Arial" w:cs="Arial" w:eastAsia="Arial" w:hAnsi="Arial"/>
                <w:b/>
                <w:bCs/>
                <w:sz w:val="20"/>
                <w:szCs w:val="20"/>
              </w:rPr>
              <w:t>Health &amp; Social Inclusion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Access to healthcare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healthcare facility accessible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Health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pPr>
              <w:pStyle w:val="style0"/>
              <w:jc w:val="left"/>
              <w:rPr/>
            </w:pP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Disability status</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no disability in HH, 0 = disability present</w:t>
            </w:r>
          </w:p>
        </w:tc>
        <w:tc>
          <w:tcPr>
            <w:tcW w:w="27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tcPr>
          <w:p>
            <w:pPr>
              <w:pStyle w:val="style0"/>
              <w:jc w:val="left"/>
              <w:rPr/>
            </w:pPr>
            <w:r>
              <w:rPr>
                <w:rFonts w:ascii="Arial" w:cs="Arial" w:eastAsia="Arial" w:hAnsi="Arial"/>
                <w:b w:val="false"/>
                <w:bCs w:val="false"/>
                <w:sz w:val="20"/>
                <w:szCs w:val="20"/>
              </w:rPr>
              <w:t>Health Module</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120" w:type="dxa"/>
              <w:bottom w:w="60" w:type="dxa"/>
              <w:right w:w="120" w:type="dxa"/>
            </w:tcMar>
          </w:tcPr>
          <w:p>
            <w:pPr>
              <w:pStyle w:val="style0"/>
              <w:jc w:val="left"/>
              <w:rP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Gender of household head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Binary: 1 = male-headed, 0 = female-headed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pPr>
              <w:pStyle w:val="style0"/>
              <w:jc w:val="left"/>
              <w:rPr/>
            </w:pPr>
            <w:r>
              <w:rPr>
                <w:rFonts w:ascii="Arial" w:cs="Arial" w:eastAsia="Arial" w:hAnsi="Arial"/>
                <w:b w:val="false"/>
                <w:bCs w:val="false"/>
                <w:sz w:val="20"/>
                <w:szCs w:val="20"/>
              </w:rPr>
              <w:t>Roster Module</w:t>
            </w:r>
          </w:p>
        </w:tc>
      </w:tr>
    </w:tbl>
    <w:p>
      <w:pPr>
        <w:pStyle w:val="style0"/>
        <w:spacing w:before="0" w:after="80"/>
        <w:rPr/>
      </w:pPr>
    </w:p>
    <w:p>
      <w:pPr>
        <w:pStyle w:val="style0"/>
        <w:spacing w:before="80" w:after="240"/>
        <w:jc w:val="center"/>
        <w:rPr/>
      </w:pPr>
      <w:r>
        <w:rPr>
          <w:rFonts w:ascii="Arial" w:cs="Arial" w:eastAsia="Arial" w:hAnsi="Arial"/>
          <w:color w:val="666666"/>
          <w:sz w:val="20"/>
          <w:szCs w:val="20"/>
        </w:rPr>
        <w:t>Table 1: IPI Dimensions, Indicators, Measurement Approach, and Data Sources</w:t>
      </w:r>
    </w:p>
    <w:p>
      <w:pPr>
        <w:pStyle w:val="style0"/>
        <w:rPr/>
      </w:pPr>
      <w:r>
        <w:br/>
      </w:r>
      <w:r>
        <w:br w:type="page"/>
      </w:r>
    </w:p>
    <w:p>
      <w:pPr>
        <w:pStyle w:val="style4097"/>
        <w:spacing w:before="360" w:after="160"/>
        <w:rPr/>
      </w:pPr>
      <w:r>
        <w:rPr>
          <w:rFonts w:ascii="Arial" w:cs="Arial" w:eastAsia="Arial" w:hAnsi="Arial"/>
          <w:b/>
          <w:bCs/>
          <w:color w:val="004d2c"/>
          <w:sz w:val="32"/>
          <w:szCs w:val="32"/>
        </w:rPr>
        <w:t>6. EXPECTED RESULTS AND ANALYTICAL FRAMEWORK</w:t>
      </w:r>
    </w:p>
    <w:p>
      <w:pPr>
        <w:pStyle w:val="style4098"/>
        <w:spacing w:before="240" w:after="120"/>
        <w:rPr/>
      </w:pPr>
      <w:r>
        <w:rPr>
          <w:rFonts w:ascii="Arial" w:cs="Arial" w:eastAsia="Arial" w:hAnsi="Arial"/>
          <w:b/>
          <w:bCs/>
          <w:color w:val="004d2c"/>
          <w:sz w:val="26"/>
          <w:szCs w:val="26"/>
        </w:rPr>
        <w:t>6.1 IPI Score Distribution</w:t>
      </w:r>
    </w:p>
    <w:p>
      <w:pPr>
        <w:pStyle w:val="style0"/>
        <w:spacing w:before="80" w:after="80" w:lineRule="auto" w:line="336"/>
        <w:jc w:val="both"/>
        <w:rPr/>
      </w:pPr>
      <w:r>
        <w:rPr>
          <w:rFonts w:ascii="Arial" w:cs="Arial" w:eastAsia="Arial" w:hAnsi="Arial"/>
          <w:sz w:val="22"/>
          <w:szCs w:val="22"/>
        </w:rPr>
        <w:t>Based on the structure of the UNHS 2019/2020 data and Uganda's known welfare profile, we anticipate a right-skewed distribution of IPI scores, with the majority of households concentrated in the Low to Moderate Prosperity range (IPI scores of 0–60). The expected mean IPI score for Uganda is projected at approximately 40-50 out of 100, with significant variance across regions. The Central region is anticipated to exhibit the highest mean IPI scores, followed by Western, Northern, and Eastern Uganda respectively, consistent with the known spatial patterns of multidimensional poverty in the country.</w:t>
      </w:r>
    </w:p>
    <w:p>
      <w:pPr>
        <w:pStyle w:val="style0"/>
        <w:spacing w:before="0" w:after="80"/>
        <w:rPr/>
      </w:pPr>
    </w:p>
    <w:p>
      <w:pPr>
        <w:pStyle w:val="style4098"/>
        <w:spacing w:before="240" w:after="120"/>
        <w:rPr/>
      </w:pPr>
      <w:r>
        <w:rPr>
          <w:rFonts w:ascii="Arial" w:cs="Arial" w:eastAsia="Arial" w:hAnsi="Arial"/>
          <w:b/>
          <w:bCs/>
          <w:color w:val="004d2c"/>
          <w:sz w:val="26"/>
          <w:szCs w:val="26"/>
        </w:rPr>
        <w:t>6.2 Regional and Demographic Disparities</w:t>
      </w:r>
    </w:p>
    <w:p>
      <w:pPr>
        <w:pStyle w:val="style0"/>
        <w:spacing w:before="80" w:after="80" w:lineRule="auto" w:line="336"/>
        <w:jc w:val="both"/>
        <w:rPr/>
      </w:pPr>
      <w:r>
        <w:rPr>
          <w:rFonts w:ascii="Arial" w:cs="Arial" w:eastAsia="Arial" w:hAnsi="Arial"/>
          <w:sz w:val="22"/>
          <w:szCs w:val="22"/>
        </w:rPr>
        <w:t>Cross-tabulations and ANOVA are expected to reveal statistically significant prosperity gaps across Uganda's four regions. Urban households are anticipated to score 25-35 points higher on the IPI than rural households on average, driven primarily by large disparities in digital inclusion, electricity access, and formal employment. Female-headed households are expected to record lower mean IPI scores than male-headed households, reflecting structural gender inequalities in asset ownership, education, and access to formal labour markets.</w:t>
      </w:r>
    </w:p>
    <w:p>
      <w:pPr>
        <w:pStyle w:val="style0"/>
        <w:spacing w:before="0" w:after="80"/>
        <w:rPr/>
      </w:pPr>
    </w:p>
    <w:p>
      <w:pPr>
        <w:pStyle w:val="style4098"/>
        <w:spacing w:before="240" w:after="120"/>
        <w:rPr/>
      </w:pPr>
      <w:r>
        <w:rPr>
          <w:rFonts w:ascii="Arial" w:cs="Arial" w:eastAsia="Arial" w:hAnsi="Arial"/>
          <w:b/>
          <w:bCs/>
          <w:color w:val="004d2c"/>
          <w:sz w:val="26"/>
          <w:szCs w:val="26"/>
        </w:rPr>
        <w:t>6.3 Socioeconomic Determinants</w:t>
      </w:r>
    </w:p>
    <w:p>
      <w:pPr>
        <w:pStyle w:val="style0"/>
        <w:spacing w:before="80" w:after="80" w:lineRule="auto" w:line="336"/>
        <w:jc w:val="both"/>
        <w:rPr/>
      </w:pPr>
      <w:r>
        <w:rPr>
          <w:rFonts w:ascii="Arial" w:cs="Arial" w:eastAsia="Arial" w:hAnsi="Arial"/>
          <w:sz w:val="22"/>
          <w:szCs w:val="22"/>
        </w:rPr>
        <w:t>Multiple linear regression and logistic regression models are expected to identify the following key determinants of household prosperity: educational attainment of the household head (positive and highly significant); access to electricity (strong positive effect, reflecting its dual role in enabling productive activities and digital access); urban residence; engagement in formal employment; household size (negative, reflecting dilution effects); and region of residence. In logistic regression models, households with tertiary-educated heads in urban areas with electricity access are expected to be 8-12 times more likely to be classified in the High Prosperity category compared to rural, uneducated, electricity-deprived households.</w:t>
      </w:r>
    </w:p>
    <w:p>
      <w:pPr>
        <w:pStyle w:val="style0"/>
        <w:spacing w:before="0" w:after="80"/>
        <w:rPr/>
      </w:pPr>
    </w:p>
    <w:p>
      <w:pPr>
        <w:pStyle w:val="style4098"/>
        <w:spacing w:before="240" w:after="120"/>
        <w:rPr/>
      </w:pPr>
      <w:r>
        <w:rPr>
          <w:rFonts w:ascii="Arial" w:cs="Arial" w:eastAsia="Arial" w:hAnsi="Arial"/>
          <w:b/>
          <w:bCs/>
          <w:color w:val="004d2c"/>
          <w:sz w:val="26"/>
          <w:szCs w:val="26"/>
        </w:rPr>
        <w:t>6.4 Machine Learning Performance</w:t>
      </w:r>
    </w:p>
    <w:p>
      <w:pPr>
        <w:pStyle w:val="style0"/>
        <w:spacing w:before="80" w:after="80" w:lineRule="auto" w:line="336"/>
        <w:jc w:val="both"/>
        <w:rPr/>
      </w:pPr>
      <w:r>
        <w:rPr>
          <w:rFonts w:ascii="Arial" w:cs="Arial" w:eastAsia="Arial" w:hAnsi="Arial"/>
          <w:sz w:val="22"/>
          <w:szCs w:val="22"/>
        </w:rPr>
        <w:t>Based on benchmarks from comparable applications in East African household survey contexts, the Random Forest model is expected to achieve an overall accuracy of 82-88% on the hold-out test set, with AUC-ROC values of 0.90-0.94. XGBoost, with hyperparameter tuning, is expected to match or marginally outperform Random Forest, consistent with findings from the broader ML in development economics literature. Feature importance analysis from both models is expected to converge with the econometric results, identifying education, electricity access, and urban residence as the top predictors of prosperity.</w:t>
      </w:r>
    </w:p>
    <w:p>
      <w:pPr>
        <w:pStyle w:val="style0"/>
        <w:spacing w:before="0" w:after="80"/>
        <w:rPr/>
      </w:pPr>
    </w:p>
    <w:p>
      <w:pPr>
        <w:pStyle w:val="style4098"/>
        <w:spacing w:before="240" w:after="120"/>
        <w:rPr/>
      </w:pPr>
      <w:r>
        <w:rPr>
          <w:rFonts w:ascii="Arial" w:cs="Arial" w:eastAsia="Arial" w:hAnsi="Arial"/>
          <w:b/>
          <w:bCs/>
          <w:color w:val="004d2c"/>
          <w:sz w:val="26"/>
          <w:szCs w:val="26"/>
        </w:rPr>
        <w:t>6.5 Robustness Evidence</w:t>
      </w:r>
    </w:p>
    <w:p>
      <w:pPr>
        <w:pStyle w:val="style0"/>
        <w:spacing w:before="80" w:after="80" w:lineRule="auto" w:line="336"/>
        <w:jc w:val="both"/>
        <w:rPr/>
      </w:pPr>
      <w:r>
        <w:rPr>
          <w:rFonts w:ascii="Arial" w:cs="Arial" w:eastAsia="Arial" w:hAnsi="Arial"/>
          <w:sz w:val="22"/>
          <w:szCs w:val="22"/>
        </w:rPr>
        <w:t>The six-layer robustness analysis is designed to provide comprehensive evidence of result reliability. The Spearman rank correlation between PCA-based and equal-weight IPI household rankings is expected to exceed 0.90, confirming weighting insensitivity at the aggregate level. Regional subsample analyses are expected to reveal some heterogeneity in coefficient magnitudes across regions, particularly for the effect of formal employment, which is expected to be stronger in urban-dominated Central Uganda than in the more agrarian Northern and Eastern regions. Ten-fold cross-validation F1-scores are expected to exhibit standard deviations below 0.03, confirming ML model stability.</w:t>
      </w:r>
    </w:p>
    <w:p>
      <w:pPr>
        <w:pStyle w:val="style0"/>
        <w:rPr/>
      </w:pPr>
      <w:r>
        <w:br/>
      </w:r>
      <w:r>
        <w:br w:type="page"/>
      </w:r>
    </w:p>
    <w:p>
      <w:pPr>
        <w:pStyle w:val="style4097"/>
        <w:spacing w:before="360" w:after="160"/>
        <w:rPr/>
      </w:pPr>
      <w:r>
        <w:rPr>
          <w:rFonts w:ascii="Arial" w:cs="Arial" w:eastAsia="Arial" w:hAnsi="Arial"/>
          <w:b/>
          <w:bCs/>
          <w:color w:val="004d2c"/>
          <w:sz w:val="32"/>
          <w:szCs w:val="32"/>
        </w:rPr>
        <w:t>7. POLICY IMPLICATIONS AND RECOMMENDATIONS</w:t>
      </w:r>
    </w:p>
    <w:p>
      <w:pPr>
        <w:pStyle w:val="style4098"/>
        <w:spacing w:before="240" w:after="120"/>
        <w:rPr/>
      </w:pPr>
      <w:r>
        <w:rPr>
          <w:rFonts w:ascii="Arial" w:cs="Arial" w:eastAsia="Arial" w:hAnsi="Arial"/>
          <w:b/>
          <w:bCs/>
          <w:color w:val="004d2c"/>
          <w:sz w:val="26"/>
          <w:szCs w:val="26"/>
        </w:rPr>
        <w:t>7.1 Education-Focused Interventions</w:t>
      </w:r>
    </w:p>
    <w:p>
      <w:pPr>
        <w:pStyle w:val="style0"/>
        <w:spacing w:before="80" w:after="80" w:lineRule="auto" w:line="336"/>
        <w:jc w:val="both"/>
        <w:rPr/>
      </w:pPr>
      <w:r>
        <w:rPr>
          <w:rFonts w:ascii="Arial" w:cs="Arial" w:eastAsia="Arial" w:hAnsi="Arial"/>
          <w:sz w:val="22"/>
          <w:szCs w:val="22"/>
        </w:rPr>
        <w:t>Given the anticipated dominant role of educational attainment in determining household prosperity, this study will recommend sustained investment in secondary and tertiary education, particularly in the Northern and Eastern regions where completion rates remain low. Adult literacy and vocational training programmes targeting household heads with no formal education represent high-return interventions for short-to-medium term prosperity improvement.</w:t>
      </w:r>
    </w:p>
    <w:p>
      <w:pPr>
        <w:pStyle w:val="style0"/>
        <w:spacing w:before="0" w:after="80"/>
        <w:rPr/>
      </w:pPr>
    </w:p>
    <w:p>
      <w:pPr>
        <w:pStyle w:val="style4098"/>
        <w:spacing w:before="240" w:after="120"/>
        <w:rPr/>
      </w:pPr>
      <w:r>
        <w:rPr>
          <w:rFonts w:ascii="Arial" w:cs="Arial" w:eastAsia="Arial" w:hAnsi="Arial"/>
          <w:b/>
          <w:bCs/>
          <w:color w:val="004d2c"/>
          <w:sz w:val="26"/>
          <w:szCs w:val="26"/>
        </w:rPr>
        <w:t>7.2 Electricity and Digital Infrastructure</w:t>
      </w:r>
    </w:p>
    <w:p>
      <w:pPr>
        <w:pStyle w:val="style0"/>
        <w:spacing w:before="80" w:after="80" w:lineRule="auto" w:line="336"/>
        <w:jc w:val="both"/>
        <w:rPr/>
      </w:pPr>
      <w:r>
        <w:rPr>
          <w:rFonts w:ascii="Arial" w:cs="Arial" w:eastAsia="Arial" w:hAnsi="Arial"/>
          <w:sz w:val="22"/>
          <w:szCs w:val="22"/>
        </w:rPr>
        <w:t>The study is expected to confirm that electricity access is not merely a welfare outcome but a prosperity enabler — households with electricity exhibit higher IPI scores across multiple dimensions simultaneously. This finding will reinforce the case for accelerating rural electrification under Uganda's Renewable Energy and Energy Efficiency programmes. Complementary investments in affordable internet connectivity, particularly in rural and peri-urban areas, are recommended to address the growing digital prosperity gap.</w:t>
      </w:r>
    </w:p>
    <w:p>
      <w:pPr>
        <w:pStyle w:val="style0"/>
        <w:spacing w:before="0" w:after="80"/>
        <w:rPr/>
      </w:pPr>
    </w:p>
    <w:p>
      <w:pPr>
        <w:pStyle w:val="style4098"/>
        <w:spacing w:before="240" w:after="120"/>
        <w:rPr/>
      </w:pPr>
      <w:r>
        <w:rPr>
          <w:rFonts w:ascii="Arial" w:cs="Arial" w:eastAsia="Arial" w:hAnsi="Arial"/>
          <w:b/>
          <w:bCs/>
          <w:color w:val="004d2c"/>
          <w:sz w:val="26"/>
          <w:szCs w:val="26"/>
        </w:rPr>
        <w:t>7.3 Gender-Responsive Resource Allocation</w:t>
      </w:r>
    </w:p>
    <w:p>
      <w:pPr>
        <w:pStyle w:val="style0"/>
        <w:spacing w:before="80" w:after="80" w:lineRule="auto" w:line="336"/>
        <w:jc w:val="both"/>
        <w:rPr/>
      </w:pPr>
      <w:r>
        <w:rPr>
          <w:rFonts w:ascii="Arial" w:cs="Arial" w:eastAsia="Arial" w:hAnsi="Arial"/>
          <w:sz w:val="22"/>
          <w:szCs w:val="22"/>
        </w:rPr>
        <w:t>The anticipated gender disparities in IPI scores will support targeted resource allocation toward female-headed households. Recommendations will include gender-targeted credit and savings schemes, female land tenure security programmes, and healthcare access improvements particularly relevant for female-headed households with limited male adult labour capacity.</w:t>
      </w:r>
    </w:p>
    <w:p>
      <w:pPr>
        <w:pStyle w:val="style0"/>
        <w:spacing w:before="0" w:after="80"/>
        <w:rPr/>
      </w:pPr>
    </w:p>
    <w:p>
      <w:pPr>
        <w:pStyle w:val="style4098"/>
        <w:spacing w:before="240" w:after="120"/>
        <w:rPr/>
      </w:pPr>
      <w:r>
        <w:rPr>
          <w:rFonts w:ascii="Arial" w:cs="Arial" w:eastAsia="Arial" w:hAnsi="Arial"/>
          <w:b/>
          <w:bCs/>
          <w:color w:val="004d2c"/>
          <w:sz w:val="26"/>
          <w:szCs w:val="26"/>
        </w:rPr>
        <w:t>7.4 Regional Targeting Framework</w:t>
      </w:r>
    </w:p>
    <w:p>
      <w:pPr>
        <w:pStyle w:val="style0"/>
        <w:spacing w:before="80" w:after="80" w:lineRule="auto" w:line="336"/>
        <w:jc w:val="both"/>
        <w:rPr/>
      </w:pPr>
      <w:r>
        <w:rPr>
          <w:rFonts w:ascii="Arial" w:cs="Arial" w:eastAsia="Arial" w:hAnsi="Arial"/>
          <w:sz w:val="22"/>
          <w:szCs w:val="22"/>
        </w:rPr>
        <w:t>The IPI's regional disaggregation will enable a data-driven regional targeting framework for the National Development Plan (NDP IV). Districts in the Northern and Eastern regions with the lowest IPI scores and highest deprivation in specific dimensions will be identified as priority investment zones, enabling geographic targeting of the Parish Development Model and Emyooga programmes.</w:t>
      </w:r>
    </w:p>
    <w:p>
      <w:pPr>
        <w:pStyle w:val="style0"/>
        <w:spacing w:before="0" w:after="80"/>
        <w:rPr/>
      </w:pPr>
    </w:p>
    <w:p>
      <w:pPr>
        <w:pStyle w:val="style4098"/>
        <w:spacing w:before="240" w:after="120"/>
        <w:rPr/>
      </w:pPr>
      <w:r>
        <w:rPr>
          <w:rFonts w:ascii="Arial" w:cs="Arial" w:eastAsia="Arial" w:hAnsi="Arial"/>
          <w:b/>
          <w:bCs/>
          <w:color w:val="004d2c"/>
          <w:sz w:val="26"/>
          <w:szCs w:val="26"/>
        </w:rPr>
        <w:t>7.5 Institutionalization of the IPI</w:t>
      </w:r>
    </w:p>
    <w:p>
      <w:pPr>
        <w:pStyle w:val="style0"/>
        <w:spacing w:before="80" w:after="80" w:lineRule="auto" w:line="336"/>
        <w:jc w:val="both"/>
        <w:rPr/>
      </w:pPr>
      <w:r>
        <w:rPr>
          <w:rFonts w:ascii="Arial" w:cs="Arial" w:eastAsia="Arial" w:hAnsi="Arial"/>
          <w:sz w:val="22"/>
          <w:szCs w:val="22"/>
        </w:rPr>
        <w:t>This study will recommend that UBOS formally integrate the IPI into its official statistics production cycle, computing and publishing IPI scores following each UNHS round. This will enable longitudinal monitoring of Uganda's multidimensional prosperity trajectory, complementing the existing Poverty Status Reports and contributing Uganda's evidence to the African Statistics Day thematic agenda.</w:t>
      </w:r>
    </w:p>
    <w:p>
      <w:pPr>
        <w:pStyle w:val="style0"/>
        <w:rPr/>
      </w:pPr>
      <w:r>
        <w:br/>
      </w:r>
      <w:r>
        <w:br w:type="page"/>
      </w:r>
    </w:p>
    <w:p>
      <w:pPr>
        <w:pStyle w:val="style4097"/>
        <w:spacing w:before="360" w:after="160"/>
        <w:rPr/>
      </w:pPr>
      <w:r>
        <w:rPr>
          <w:rFonts w:ascii="Arial" w:cs="Arial" w:eastAsia="Arial" w:hAnsi="Arial"/>
          <w:b/>
          <w:bCs/>
          <w:color w:val="004d2c"/>
          <w:sz w:val="32"/>
          <w:szCs w:val="32"/>
        </w:rPr>
        <w:t>8. SOFTWARE AND TOOLS</w:t>
      </w:r>
    </w:p>
    <w:p>
      <w:pPr>
        <w:pStyle w:val="style4098"/>
        <w:spacing w:before="240" w:after="120"/>
        <w:rPr/>
      </w:pPr>
      <w:r>
        <w:rPr>
          <w:rFonts w:ascii="Arial" w:cs="Arial" w:eastAsia="Arial" w:hAnsi="Arial"/>
          <w:b/>
          <w:bCs/>
          <w:color w:val="004d2c"/>
          <w:sz w:val="26"/>
          <w:szCs w:val="26"/>
        </w:rPr>
        <w:t>8.1 Stata</w:t>
      </w:r>
    </w:p>
    <w:p>
      <w:pPr>
        <w:pStyle w:val="style0"/>
        <w:spacing w:before="80" w:after="80" w:lineRule="auto" w:line="336"/>
        <w:jc w:val="both"/>
        <w:rPr/>
      </w:pPr>
      <w:r>
        <w:rPr>
          <w:rFonts w:ascii="Arial" w:cs="Arial" w:eastAsia="Arial" w:hAnsi="Arial"/>
          <w:sz w:val="22"/>
          <w:szCs w:val="22"/>
        </w:rPr>
        <w:t>Stata 17 (StataCorp) serves as the primary statistical software for data management (Phases 1), index construction (Phase 2), descriptive and inferential analysis (Phases 3-4), and robustness testing (Phase 6). Stata is the industry standard for complex survey data analysis, offering the svy: suite of commands that fully account for stratification, clustering, and probability weights. Its PCA implementation (pca command) and post-estimation tools (predict, screeplot, loadingplot) provide a comprehensive environment for index construction.</w:t>
      </w:r>
    </w:p>
    <w:p>
      <w:pPr>
        <w:pStyle w:val="style0"/>
        <w:spacing w:before="0" w:after="80"/>
        <w:rPr/>
      </w:pPr>
    </w:p>
    <w:p>
      <w:pPr>
        <w:pStyle w:val="style4098"/>
        <w:spacing w:before="240" w:after="120"/>
        <w:rPr/>
      </w:pPr>
      <w:r>
        <w:rPr>
          <w:rFonts w:ascii="Arial" w:cs="Arial" w:eastAsia="Arial" w:hAnsi="Arial"/>
          <w:b/>
          <w:bCs/>
          <w:color w:val="004d2c"/>
          <w:sz w:val="26"/>
          <w:szCs w:val="26"/>
        </w:rPr>
        <w:t>8.2 Python</w:t>
      </w:r>
    </w:p>
    <w:p>
      <w:pPr>
        <w:pStyle w:val="style0"/>
        <w:spacing w:before="80" w:after="80" w:lineRule="auto" w:line="336"/>
        <w:jc w:val="both"/>
        <w:rPr/>
      </w:pPr>
      <w:r>
        <w:rPr>
          <w:rFonts w:ascii="Arial" w:cs="Arial" w:eastAsia="Arial" w:hAnsi="Arial"/>
          <w:sz w:val="22"/>
          <w:szCs w:val="22"/>
        </w:rPr>
        <w:t>Python 3.10 (with Scikit-learn, XGBoost, Pandas, NumPy, Matplotlib, and SHAP libraries) is used for Phase 5 (Machine Learning). The Scikit-learn library provides standardized implementations of Random Forest and cross-validation procedures. The XGBoost library provides the gradient boosting implementation. SHAP (SHapley Additive exPlanations) values are used for interpretable feature importance analysis, going beyond standard Gini-based importance to provide theoretically grounded attribution of model predictions to individual features.</w:t>
      </w:r>
    </w:p>
    <w:p>
      <w:pPr>
        <w:pStyle w:val="style0"/>
        <w:spacing w:before="0" w:after="80"/>
        <w:rPr/>
      </w:pPr>
    </w:p>
    <w:p>
      <w:pPr>
        <w:pStyle w:val="style4098"/>
        <w:spacing w:before="240" w:after="120"/>
        <w:rPr/>
      </w:pPr>
      <w:r>
        <w:rPr>
          <w:rFonts w:ascii="Arial" w:cs="Arial" w:eastAsia="Arial" w:hAnsi="Arial"/>
          <w:b/>
          <w:bCs/>
          <w:color w:val="004d2c"/>
          <w:sz w:val="26"/>
          <w:szCs w:val="26"/>
        </w:rPr>
        <w:t>8.3 Power BI</w:t>
      </w:r>
    </w:p>
    <w:p>
      <w:pPr>
        <w:pStyle w:val="style0"/>
        <w:spacing w:before="80" w:after="80" w:lineRule="auto" w:line="336"/>
        <w:jc w:val="both"/>
        <w:rPr/>
      </w:pPr>
      <w:r>
        <w:rPr>
          <w:rFonts w:ascii="Arial" w:cs="Arial" w:eastAsia="Arial" w:hAnsi="Arial"/>
          <w:sz w:val="22"/>
          <w:szCs w:val="22"/>
        </w:rPr>
        <w:t>Microsoft Power BI Desktop is used for Phase 7 dashboard development. Power BI's native support for choropleth maps, dynamic slicers, KPI cards, and drill-through pages makes it the optimal tool for transforming statistical outputs into accessible, interactive policy communication tools. The dashboard will be published to the Power BI Service for sharing with UBOS stakeholders and development partners.</w:t>
      </w:r>
    </w:p>
    <w:p>
      <w:pPr>
        <w:pStyle w:val="style0"/>
        <w:rPr/>
      </w:pPr>
      <w:r>
        <w:br/>
      </w:r>
      <w:r>
        <w:br w:type="page"/>
      </w:r>
    </w:p>
    <w:p>
      <w:pPr>
        <w:pStyle w:val="style4097"/>
        <w:spacing w:before="360" w:after="160"/>
        <w:rPr/>
      </w:pPr>
      <w:r>
        <w:rPr>
          <w:rFonts w:ascii="Arial" w:cs="Arial" w:eastAsia="Arial" w:hAnsi="Arial"/>
          <w:b/>
          <w:bCs/>
          <w:color w:val="004d2c"/>
          <w:sz w:val="32"/>
          <w:szCs w:val="32"/>
        </w:rPr>
        <w:t>9. CONCLUSION</w:t>
      </w:r>
    </w:p>
    <w:p>
      <w:pPr>
        <w:pStyle w:val="style0"/>
        <w:spacing w:before="80" w:after="80" w:lineRule="auto" w:line="336"/>
        <w:jc w:val="both"/>
        <w:rPr/>
      </w:pPr>
      <w:r>
        <w:rPr>
          <w:rFonts w:ascii="Arial" w:cs="Arial" w:eastAsia="Arial" w:hAnsi="Arial"/>
          <w:sz w:val="22"/>
          <w:szCs w:val="22"/>
        </w:rPr>
        <w:t>This paper has presented the full methodological framework for developing Uganda's first Inclusive Prosperity Index — a validated, multidimensional composite measure of household wellbeing constructed from the UNHS 2019/2020 dataset. By integrating five theoretically grounded dimensions (Economic Wellbeing, Education, Housing and Living Standards, Digital Inclusion, and Health and Social Inclusion), employing PCA for objective weight generation, applying classical econometrics for determinant identification, and leveraging Random Forest and XGBoost machine learning for predictive analytics, the study represents a methodological advancement in how household prosperity is measured and analyzed in Uganda.</w:t>
      </w:r>
    </w:p>
    <w:p>
      <w:pPr>
        <w:pStyle w:val="style0"/>
        <w:spacing w:before="0" w:after="80"/>
        <w:rPr/>
      </w:pPr>
    </w:p>
    <w:p>
      <w:pPr>
        <w:pStyle w:val="style0"/>
        <w:spacing w:before="80" w:after="80" w:lineRule="auto" w:line="336"/>
        <w:jc w:val="both"/>
        <w:rPr/>
      </w:pPr>
      <w:r>
        <w:rPr>
          <w:rFonts w:ascii="Arial" w:cs="Arial" w:eastAsia="Arial" w:hAnsi="Arial"/>
          <w:sz w:val="22"/>
          <w:szCs w:val="22"/>
        </w:rPr>
        <w:t>The six-layer robustness and sensitivity analysis framework ensures that the findings are reliable, reproducible, and policy-credible. The Power BI dashboard transforms complex analytical outputs into accessible visualizations that district planners, sector ministries, and development partners can use directly in decision-making. The study's modular methodology is designed to be replicable across East African countries with comparable household survey data, contributing to the continent's broader agenda of data-driven, evidence-based development planning.</w:t>
      </w:r>
    </w:p>
    <w:p>
      <w:pPr>
        <w:pStyle w:val="style0"/>
        <w:spacing w:before="0" w:after="80"/>
        <w:rPr/>
      </w:pPr>
    </w:p>
    <w:p>
      <w:pPr>
        <w:pStyle w:val="style0"/>
        <w:spacing w:before="80" w:after="80" w:lineRule="auto" w:line="336"/>
        <w:jc w:val="both"/>
        <w:rPr/>
      </w:pPr>
      <w:r>
        <w:rPr>
          <w:rFonts w:ascii="Arial" w:cs="Arial" w:eastAsia="Arial" w:hAnsi="Arial"/>
          <w:sz w:val="22"/>
          <w:szCs w:val="22"/>
        </w:rPr>
        <w:t>As African nations intensify their commitment to Agenda 2063 and the Sustainable Development Goals, multidimensional prosperity measurement tools like the IPI will become increasingly central to monitoring progress, allocating resources, and designing interventions that leave no one behind. This study demonstrates that the tools are available, the data exist, and the methodology is sound — what remains is the political and institutional commitment to use evidence in service of a just, inclusive, and prosperous Uganda.</w:t>
      </w:r>
    </w:p>
    <w:p>
      <w:pPr>
        <w:pStyle w:val="style0"/>
        <w:spacing w:before="0" w:after="80"/>
        <w:rPr/>
      </w:pPr>
    </w:p>
    <w:p>
      <w:pPr>
        <w:pStyle w:val="style0"/>
        <w:pBdr>
          <w:top w:val="single" w:sz="4" w:space="4" w:color="004d2c"/>
        </w:pBdr>
        <w:spacing w:before="240" w:after="0"/>
        <w:jc w:val="center"/>
        <w:rPr/>
      </w:pPr>
    </w:p>
    <w:p>
      <w:pPr>
        <w:pStyle w:val="style0"/>
        <w:rPr/>
      </w:pPr>
      <w:r>
        <w:br/>
      </w:r>
      <w:r>
        <w:br w:type="page"/>
      </w:r>
    </w:p>
    <w:p>
      <w:pPr>
        <w:pStyle w:val="style4097"/>
        <w:spacing w:before="360" w:after="160"/>
        <w:rPr/>
      </w:pPr>
      <w:r>
        <w:rPr>
          <w:rFonts w:ascii="Arial" w:cs="Arial" w:eastAsia="Arial" w:hAnsi="Arial"/>
          <w:b/>
          <w:bCs/>
          <w:color w:val="004d2c"/>
          <w:sz w:val="32"/>
          <w:szCs w:val="32"/>
        </w:rPr>
        <w:t>REFERENCES</w:t>
      </w:r>
    </w:p>
    <w:p>
      <w:pPr>
        <w:pStyle w:val="style0"/>
        <w:spacing w:before="80" w:after="80" w:lineRule="auto" w:line="336"/>
        <w:jc w:val="both"/>
        <w:rPr/>
      </w:pPr>
      <w:r>
        <w:rPr>
          <w:rFonts w:ascii="Arial" w:cs="Arial" w:eastAsia="Arial" w:hAnsi="Arial"/>
          <w:sz w:val="22"/>
          <w:szCs w:val="22"/>
        </w:rPr>
        <w:t>Alkire, S., &amp; Foster, J. (2011). Counting and multidimensional poverty measurement. Journal of Public Economics, 95(7-8), 476-487.</w:t>
      </w:r>
    </w:p>
    <w:p>
      <w:pPr>
        <w:pStyle w:val="style0"/>
        <w:spacing w:before="0" w:after="80"/>
        <w:rPr/>
      </w:pPr>
    </w:p>
    <w:p>
      <w:pPr>
        <w:pStyle w:val="style0"/>
        <w:spacing w:before="80" w:after="80" w:lineRule="auto" w:line="336"/>
        <w:jc w:val="both"/>
        <w:rPr/>
      </w:pPr>
      <w:r>
        <w:rPr>
          <w:rFonts w:ascii="Arial" w:cs="Arial" w:eastAsia="Arial" w:hAnsi="Arial"/>
          <w:sz w:val="22"/>
          <w:szCs w:val="22"/>
        </w:rPr>
        <w:t>Blumenstock, J., Cadamuro, G., &amp; On, R. (2015). Predicting poverty and wealth from mobile phone metadata. Science, 350(6264), 1073-1076.</w:t>
      </w:r>
    </w:p>
    <w:p>
      <w:pPr>
        <w:pStyle w:val="style0"/>
        <w:spacing w:before="0" w:after="80"/>
        <w:rPr/>
      </w:pPr>
    </w:p>
    <w:p>
      <w:pPr>
        <w:pStyle w:val="style0"/>
        <w:spacing w:before="80" w:after="80" w:lineRule="auto" w:line="336"/>
        <w:jc w:val="both"/>
        <w:rPr/>
      </w:pPr>
      <w:r>
        <w:rPr>
          <w:rFonts w:ascii="Arial" w:cs="Arial" w:eastAsia="Arial" w:hAnsi="Arial"/>
          <w:sz w:val="22"/>
          <w:szCs w:val="22"/>
        </w:rPr>
        <w:t>Breiman, L. (2001). Random forests. Machine Learning, 45(1), 5-32.</w:t>
      </w:r>
    </w:p>
    <w:p>
      <w:pPr>
        <w:pStyle w:val="style0"/>
        <w:spacing w:before="0" w:after="80"/>
        <w:rPr/>
      </w:pPr>
    </w:p>
    <w:p>
      <w:pPr>
        <w:pStyle w:val="style0"/>
        <w:spacing w:before="80" w:after="80" w:lineRule="auto" w:line="336"/>
        <w:jc w:val="both"/>
        <w:rPr/>
      </w:pPr>
      <w:r>
        <w:rPr>
          <w:rFonts w:ascii="Arial" w:cs="Arial" w:eastAsia="Arial" w:hAnsi="Arial"/>
          <w:sz w:val="22"/>
          <w:szCs w:val="22"/>
        </w:rPr>
        <w:t>Chen, T., &amp; Guestrin, C. (2016). XGBoost: A scalable tree boosting system. Proceedings of the 22nd ACM SIGKDD International Conference on Knowledge Discovery and Data Mining, 785-794.</w:t>
      </w:r>
    </w:p>
    <w:p>
      <w:pPr>
        <w:pStyle w:val="style0"/>
        <w:spacing w:before="0" w:after="80"/>
        <w:rPr/>
      </w:pPr>
    </w:p>
    <w:p>
      <w:pPr>
        <w:pStyle w:val="style0"/>
        <w:spacing w:before="80" w:after="80" w:lineRule="auto" w:line="336"/>
        <w:jc w:val="both"/>
        <w:rPr/>
      </w:pPr>
      <w:r>
        <w:rPr>
          <w:rFonts w:ascii="Arial" w:cs="Arial" w:eastAsia="Arial" w:hAnsi="Arial"/>
          <w:sz w:val="22"/>
          <w:szCs w:val="22"/>
        </w:rPr>
        <w:t>Filmer, D., &amp; Pritchett, L. H. (2001). Estimating wealth effects without expenditure data — or tears: An application to educational enrolments in states of India. Demography, 38(1), 115-132.</w:t>
      </w:r>
    </w:p>
    <w:p>
      <w:pPr>
        <w:pStyle w:val="style0"/>
        <w:spacing w:before="0" w:after="80"/>
        <w:rPr/>
      </w:pPr>
    </w:p>
    <w:p>
      <w:pPr>
        <w:pStyle w:val="style0"/>
        <w:spacing w:before="80" w:after="80" w:lineRule="auto" w:line="336"/>
        <w:jc w:val="both"/>
        <w:rPr/>
      </w:pPr>
      <w:r>
        <w:rPr>
          <w:rFonts w:ascii="Arial" w:cs="Arial" w:eastAsia="Arial" w:hAnsi="Arial"/>
          <w:sz w:val="22"/>
          <w:szCs w:val="22"/>
        </w:rPr>
        <w:t>Jean, N., Burke, M., Xie, M., Davis, W. M., Lobell, D. B., &amp; Ermon, S. (2016). Combining satellite imagery and machine learning to predict poverty. Science, 353(6301), 790-794.</w:t>
      </w:r>
    </w:p>
    <w:p>
      <w:pPr>
        <w:pStyle w:val="style0"/>
        <w:spacing w:before="0" w:after="80"/>
        <w:rPr/>
      </w:pPr>
    </w:p>
    <w:p>
      <w:pPr>
        <w:pStyle w:val="style0"/>
        <w:spacing w:before="80" w:after="80" w:lineRule="auto" w:line="336"/>
        <w:jc w:val="both"/>
        <w:rPr/>
      </w:pPr>
      <w:r>
        <w:rPr>
          <w:rFonts w:ascii="Arial" w:cs="Arial" w:eastAsia="Arial" w:hAnsi="Arial"/>
          <w:sz w:val="22"/>
          <w:szCs w:val="22"/>
        </w:rPr>
        <w:t>Sen, A. (1999). Development as Freedom. Oxford University Press.</w:t>
      </w:r>
    </w:p>
    <w:p>
      <w:pPr>
        <w:pStyle w:val="style0"/>
        <w:spacing w:before="0" w:after="80"/>
        <w:rPr/>
      </w:pPr>
    </w:p>
    <w:p>
      <w:pPr>
        <w:pStyle w:val="style0"/>
        <w:spacing w:before="80" w:after="80" w:lineRule="auto" w:line="336"/>
        <w:jc w:val="both"/>
        <w:rPr/>
      </w:pPr>
      <w:r>
        <w:rPr>
          <w:rFonts w:ascii="Arial" w:cs="Arial" w:eastAsia="Arial" w:hAnsi="Arial"/>
          <w:sz w:val="22"/>
          <w:szCs w:val="22"/>
        </w:rPr>
        <w:t>Stiglitz, J. E., Sen, A., &amp; Fitoussi, J. P. (2009). Report by the Commission on the Measurement of Economic Performance and Social Progress. Commission on the Measurement of Economic Performance and Social Progress, Paris.</w:t>
      </w:r>
    </w:p>
    <w:p>
      <w:pPr>
        <w:pStyle w:val="style0"/>
        <w:spacing w:before="0" w:after="80"/>
        <w:rPr/>
      </w:pPr>
    </w:p>
    <w:p>
      <w:pPr>
        <w:pStyle w:val="style0"/>
        <w:spacing w:before="80" w:after="80" w:lineRule="auto" w:line="336"/>
        <w:jc w:val="both"/>
        <w:rPr/>
      </w:pPr>
      <w:r>
        <w:rPr>
          <w:rFonts w:ascii="Arial" w:cs="Arial" w:eastAsia="Arial" w:hAnsi="Arial"/>
          <w:sz w:val="22"/>
          <w:szCs w:val="22"/>
        </w:rPr>
        <w:t>Uganda Bureau of Statistics (UBOS). (2021). Uganda National Household Survey 2019/2020 Report. UBOS, Kampala, Uganda.</w:t>
      </w:r>
    </w:p>
    <w:p>
      <w:pPr>
        <w:pStyle w:val="style0"/>
        <w:spacing w:before="0" w:after="80"/>
        <w:rPr/>
      </w:pPr>
    </w:p>
    <w:p>
      <w:pPr>
        <w:pStyle w:val="style0"/>
        <w:spacing w:before="80" w:after="80" w:lineRule="auto" w:line="336"/>
        <w:jc w:val="both"/>
        <w:rPr/>
      </w:pPr>
      <w:r>
        <w:rPr>
          <w:rFonts w:ascii="Arial" w:cs="Arial" w:eastAsia="Arial" w:hAnsi="Arial"/>
          <w:sz w:val="22"/>
          <w:szCs w:val="22"/>
        </w:rPr>
        <w:t>United Nations Development Programme (UNDP). (2023). Human Development Report 2023/2024. UNDP.</w:t>
      </w:r>
    </w:p>
    <w:sectPr>
      <w:headerReference w:type="default" r:id="rId2"/>
      <w:footerReference w:type="default" r:id="rId3"/>
      <w:pgSz w:w="12240" w:h="15840" w:orient="portrait"/>
      <w:pgMar w:top="1080" w:right="1080" w:bottom="108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004d2c"/>
      </w:pBdr>
      <w:spacing w:before="120"/>
      <w:jc w:val="right"/>
      <w:rP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r>
    <w:r>
      <w:rPr>
        <w:rFonts w:ascii="Arial" w:cs="Arial" w:eastAsia="Arial" w:hAnsi="Arial"/>
        <w:color w:val="666666"/>
        <w:sz w:val="18"/>
        <w:szCs w:val="18"/>
      </w:rPr>
      <w:instrText>PAGE</w:instrText>
    </w:r>
    <w:r>
      <w:rPr>
        <w:rFonts w:ascii="Arial" w:cs="Arial" w:eastAsia="Arial" w:hAnsi="Arial"/>
        <w:color w:val="666666"/>
        <w:sz w:val="18"/>
        <w:szCs w:val="18"/>
      </w:rPr>
      <w:fldChar w:fldCharType="separate"/>
    </w:r>
    <w:r>
      <w:rPr>
        <w:rFonts w:ascii="Arial" w:cs="Arial" w:eastAsia="Arial" w:hAnsi="Arial"/>
        <w:color w:val="666666"/>
        <w:sz w:val="18"/>
        <w:szCs w:val="18"/>
      </w:rPr>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r>
    <w:r>
      <w:rPr>
        <w:rFonts w:ascii="Arial" w:cs="Arial" w:eastAsia="Arial" w:hAnsi="Arial"/>
        <w:color w:val="666666"/>
        <w:sz w:val="18"/>
        <w:szCs w:val="18"/>
      </w:rPr>
      <w:instrText>NUMPAGES</w:instrText>
    </w:r>
    <w:r>
      <w:rPr>
        <w:rFonts w:ascii="Arial" w:cs="Arial" w:eastAsia="Arial" w:hAnsi="Arial"/>
        <w:color w:val="666666"/>
        <w:sz w:val="18"/>
        <w:szCs w:val="18"/>
      </w:rPr>
      <w:fldChar w:fldCharType="separate"/>
    </w:r>
    <w:r>
      <w:rPr>
        <w:rFonts w:ascii="Arial" w:cs="Arial" w:eastAsia="Arial" w:hAnsi="Arial"/>
        <w:color w:val="666666"/>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004d2c"/>
      </w:pBdr>
      <w:spacing w:after="120"/>
      <w:rPr/>
    </w:pPr>
    <w:r>
      <w:rPr>
        <w:rFonts w:ascii="Arial" w:cs="Arial" w:eastAsia="Arial" w:hAnsi="Arial"/>
        <w:color w:val="666666"/>
        <w:sz w:val="18"/>
        <w:szCs w:val="18"/>
      </w:rPr>
      <w:t>Inclusive Prosperity Index for Uganda  |  UNHS 2019/2020  |  African Statistics Day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360" w:after="160"/>
      <w:outlineLvl w:val="0"/>
    </w:pPr>
    <w:rPr>
      <w:rFonts w:ascii="Arial" w:cs="Arial" w:eastAsia="Arial" w:hAnsi="Arial"/>
      <w:b/>
      <w:bCs/>
      <w:color w:val="004d2c"/>
      <w:sz w:val="32"/>
      <w:szCs w:val="32"/>
    </w:rPr>
  </w:style>
  <w:style w:type="paragraph" w:customStyle="1" w:styleId="style4098">
    <w:name w:val="Heading 2"/>
    <w:next w:val="style4098"/>
    <w:qFormat/>
    <w:pPr>
      <w:spacing w:before="240" w:after="120"/>
      <w:outlineLvl w:val="1"/>
    </w:pPr>
    <w:rPr>
      <w:rFonts w:ascii="Arial" w:cs="Arial" w:eastAsia="Arial" w:hAnsi="Arial"/>
      <w:b/>
      <w:bCs/>
      <w:color w:val="004d2c"/>
      <w:sz w:val="26"/>
      <w:szCs w:val="26"/>
    </w:rPr>
  </w:style>
  <w:style w:type="paragraph" w:customStyle="1" w:styleId="style4099">
    <w:name w:val="Heading 3"/>
    <w:next w:val="style4099"/>
    <w:qFormat/>
    <w:pPr>
      <w:spacing w:before="200" w:after="80"/>
      <w:outlineLvl w:val="2"/>
    </w:pPr>
    <w:rPr>
      <w:rFonts w:ascii="Arial" w:cs="Arial" w:eastAsia="Arial" w:hAnsi="Arial"/>
      <w:b/>
      <w:bCs/>
      <w:color w:val="4a5e52"/>
      <w:sz w:val="22"/>
      <w:szCs w:val="22"/>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a02a4211-e3ba-4db9-9312-08dea9383317"/>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4387</Words>
  <Characters>28571</Characters>
  <Application>WPS Office</Application>
  <Paragraphs>312</Paragraphs>
  <CharactersWithSpaces>32766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2026-06-06T06:07:23Z</dcterms:created>
  <dc:creator>Un-named</dc:creator>
  <lastModifiedBy>SM-A336E</lastModifiedBy>
  <dcterms:modified xsi:type="dcterms:W3CDTF">2026-06-07T16:15:03Z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5a7f4324974847c7bff4b4f17d0010d5</vt:lpwstr>
  </property>
</Properties>
</file>