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body>
    <w:p w14:paraId="00000001">
      <w:pPr>
        <w:rPr>
          <w:sz w:val="28"/>
          <w:szCs w:val="28"/>
        </w:rPr>
      </w:pPr>
      <w:r>
        <w:rPr>
          <w:sz w:val="28"/>
          <w:szCs w:val="28"/>
          <w:lang w:val="ru-RU"/>
        </w:rPr>
        <w:t>Результаты:</w:t>
      </w:r>
    </w:p>
    <w:p w14:paraId="00000002">
      <w:pPr>
        <w:jc w:val="center"/>
        <w:rPr>
          <w:sz w:val="28"/>
          <w:szCs w:val="28"/>
        </w:rPr>
      </w:pPr>
      <w:r>
        <w:rPr>
          <w:sz w:val="28"/>
          <w:szCs w:val="28"/>
        </w:rPr>
        <w:drawing xmlns:mc="http://schemas.openxmlformats.org/markup-compatibility/2006">
          <wp:inline>
            <wp:extent cx="5731510" cy="6877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Grp="0" noSelect="0" noChangeAspect="1" noMove="0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7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3">
      <w:pPr>
        <w:jc w:val="center"/>
        <w:rPr>
          <w:sz w:val="28"/>
          <w:szCs w:val="28"/>
        </w:rPr>
      </w:pPr>
      <w:r>
        <w:rPr>
          <w:sz w:val="28"/>
          <w:szCs w:val="28"/>
        </w:rPr>
        <w:drawing xmlns:mc="http://schemas.openxmlformats.org/markup-compatibility/2006">
          <wp:inline>
            <wp:extent cx="5731510" cy="66160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>
                      <a:picLocks noGrp="0" noSelect="0" noChangeAspect="1" noMove="0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1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4">
      <w:pPr>
        <w:jc w:val="center"/>
        <w:rPr>
          <w:sz w:val="28"/>
          <w:szCs w:val="28"/>
        </w:rPr>
      </w:pPr>
      <w:r>
        <w:rPr>
          <w:sz w:val="28"/>
          <w:szCs w:val="28"/>
        </w:rPr>
        <w:drawing xmlns:mc="http://schemas.openxmlformats.org/markup-compatibility/2006">
          <wp:inline>
            <wp:extent cx="5322570" cy="58908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Grp="0" noSelect="0" noChangeAspect="1" noMove="0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22570" cy="589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5">
      <w:pPr>
        <w:jc w:val="center"/>
        <w:rPr>
          <w:sz w:val="28"/>
          <w:szCs w:val="28"/>
        </w:rPr>
      </w:pPr>
      <w:r>
        <w:rPr>
          <w:sz w:val="28"/>
          <w:szCs w:val="28"/>
        </w:rPr>
        <w:drawing xmlns:mc="http://schemas.openxmlformats.org/markup-compatibility/2006">
          <wp:inline>
            <wp:extent cx="5731510" cy="627189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"/>
                    <pic:cNvPicPr>
                      <a:picLocks noGrp="0" noSelect="0" noChangeAspect="1" noMove="0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7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6">
      <w:pPr>
        <w:jc w:val="center"/>
        <w:rPr>
          <w:sz w:val="28"/>
          <w:szCs w:val="28"/>
        </w:rPr>
      </w:pPr>
      <w:r>
        <w:rPr>
          <w:sz w:val="28"/>
          <w:szCs w:val="28"/>
        </w:rPr>
        <w:drawing xmlns:mc="http://schemas.openxmlformats.org/markup-compatibility/2006">
          <wp:inline>
            <wp:extent cx="4543425" cy="561149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/>
                    <pic:cNvPicPr>
                      <a:picLocks noGrp="0" noSelect="0" noChangeAspect="1" noMove="0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561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7">
      <w:pPr>
        <w:jc w:val="center"/>
        <w:rPr>
          <w:sz w:val="28"/>
          <w:szCs w:val="28"/>
        </w:rPr>
      </w:pPr>
      <w:r>
        <w:rPr>
          <w:sz w:val="28"/>
          <w:szCs w:val="28"/>
        </w:rPr>
        <w:drawing xmlns:mc="http://schemas.openxmlformats.org/markup-compatibility/2006">
          <wp:inline>
            <wp:extent cx="5731510" cy="43389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Grp="0" noSelect="0" noChangeAspect="1" noMove="0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notePr/>
      <w:foot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footnotePr/>
  <w:endnotePr/>
  <w:themeFontLang w:val="ru-RU" w:eastAsia="zh-CN" w:bidi="ar-SA"/>
  <w:clrSchemeMapping w:accent1="accent1" w:accent2="accent2" w:accent3="accent3" w:accent4="accent4" w:accent5="accent5" w:accent6="accent6" w:bg1="light1" w:bg2="light2" w:followedHyperlink="followedHyperlink" w:hyperlink="hyperlink" w:text1="dark1" w:text2="dark2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10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По умолчанию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Сарин Максим</dc:creator>
  <cp:lastModifiedBy>Сарин Максим</cp:lastModifiedBy>
</cp:coreProperties>
</file>