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未来账本银行 AI 智能体设计方案</w:t>
      </w:r>
    </w:p>
    <w:p>
      <w:r>
        <w:t>面向 WeBank 人工智能赛道的产品与技术规格</w:t>
      </w:r>
    </w:p>
    <w:p>
      <w:r>
        <w:t>版本 1.0    2026 年 10 月 13 日</w:t>
      </w:r>
    </w:p>
    <w:p>
      <w:pPr>
        <w:pStyle w:val="Heading2"/>
      </w:pPr>
      <w:r>
        <w:t>方案结论</w:t>
      </w:r>
    </w:p>
    <w:p>
      <w:r>
        <w:t>采用目标驱动的银行 AI 智能体：用户描述生活目标和资金约束，系统查询账户与账单，比较未来现金流方案，将用户选择转为受权限控制的银行操作，并核验执行结果。模拟数字银行界面、右下角助手和三个快捷入口共同承载这一体验。</w:t>
      </w:r>
    </w:p>
    <w:p>
      <w:r>
        <w:t>第一版完整实现智能转账、账单分析、订阅及代扣管理三个方向，并通过目标规划完成跨场景联动。未来账本是主要创新展示；权限分级、执行可靠性和可重复评测是系统基础。</w:t>
      </w:r>
    </w:p>
    <w:p>
      <w:pPr>
        <w:pStyle w:val="Heading2"/>
      </w:pPr>
      <w:r>
        <w:t>文档用途与证据边界</w:t>
      </w:r>
    </w:p>
    <w:p>
      <w:r>
        <w:t>本文供参赛团队分工、开发、验收与答辩使用，是待实现的设计规格，不代表功能已完成或测试已通过。赛题要求与评分权重来自用户提供的赛题正文及评分图片；其他参数、架构与验收目标均为本方案提出的工程设计。</w:t>
      </w:r>
    </w:p>
    <w:p>
      <w:r>
        <w:t>银行接口、模拟环境的接受范围、强验证方式和参赛资格需以组委会答复为准。本方案不假定已获得真实银行生产接口，不承诺预测准确率、获奖概率或生产级安全认证。</w:t>
      </w:r>
    </w:p>
    <w:p>
      <w:pPr>
        <w:pStyle w:val="Heading2"/>
      </w:pPr>
      <w:r>
        <w:t>阅读导航</w:t>
      </w:r>
    </w:p>
    <w:p>
      <w:r>
        <w:t>第 1 至 4 节明确范围、业务与交互；第 5 至 12 节定义规划、预测、架构、安全、数据与接口；第 13 至 17 节提供测试、开发分工、演示、提交材料和待确认事项。</w:t>
      </w:r>
    </w:p>
    <w:p>
      <w:r>
        <w:br w:type="page"/>
      </w:r>
    </w:p>
    <w:p>
      <w:pPr>
        <w:pStyle w:val="Heading1"/>
      </w:pPr>
      <w:r>
        <w:t>1 赛题对齐与项目范围</w:t>
      </w:r>
    </w:p>
    <w:p>
      <w:r>
        <w:t>评分为任务完成率 40%、安全合规性 30%、创新性及交互体验 30%。没有已知细分权重，因此不能把创新体验中的某一个功能视为独占 30% 分数。开发优先保证可核验的任务执行，再完成可解释的未来预演。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落实方式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至少三个核心场景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转账、账单分析、订阅及代扣；各场景均有独立入口与测试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自然语言与任务规划</w:t>
            </w:r>
          </w:p>
        </w:tc>
        <w:tc>
          <w:tcPr>
            <w:tcW w:type="dxa" w:w="73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结构化意图、参数追问、上下文解析、显式 DAG、工具调用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三级权限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绿色查询自动；黄色明确确认；红色独立强验证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安全机制</w:t>
            </w:r>
          </w:p>
        </w:tc>
        <w:tc>
          <w:tcPr>
            <w:tcW w:type="dxa" w:w="73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结果依据、注入防御、操作审计、熔断、受限代码执行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中断回退与接管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执行状态机、取消未提交步骤、补偿任务、人工接管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交互评分</w:t>
            </w:r>
          </w:p>
        </w:tc>
        <w:tc>
          <w:tcPr>
            <w:tcW w:type="dxa" w:w="73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口语输入、减少无效追问、错误恢复、超范围兜底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作品规范与材料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独立开发记录、开源许可、源码、文档、视频、PPT、自评</w:t>
            </w:r>
          </w:p>
        </w:tc>
      </w:tr>
    </w:tbl>
    <w:p>
      <w:pPr>
        <w:spacing w:after="20"/>
      </w:pPr>
    </w:p>
    <w:p>
      <w:pPr>
        <w:pStyle w:val="Heading2"/>
      </w:pPr>
      <w:r>
        <w:t>必须完成的范围</w:t>
      </w:r>
    </w:p>
    <w:p>
      <w:r>
        <w:t>包括移动端适配的数字银行 Web 界面、助手对话、银行业务后端、三个场景、未来账本、权限与验证、持久化执行、审计、沙箱、故障注入、测试和提交材料。Web 是否满足渠道要求需确认；架构预留 IM 接口，但第一版不同时集成多个渠道。</w:t>
      </w:r>
    </w:p>
    <w:p>
      <w:pPr>
        <w:pStyle w:val="Heading2"/>
      </w:pPr>
      <w:r>
        <w:t>延期范围</w:t>
      </w:r>
    </w:p>
    <w:p>
      <w:r>
        <w:t>理财申购赎回、卡片管理、鲜花蛋糕下单、复杂多人 AA 催收、多币种、真实人脸识别、长期自主交易和完整移动原生 APP 不进入首版。新增方向须在基础验收通过后决定，不能用未完成按钮表示场景覆盖。</w:t>
      </w:r>
    </w:p>
    <w:p>
      <w:r>
        <w:br w:type="page"/>
      </w:r>
    </w:p>
    <w:p>
      <w:pPr>
        <w:pStyle w:val="Heading1"/>
      </w:pPr>
      <w:r>
        <w:t>2 产品定位与端到端用例</w:t>
      </w:r>
    </w:p>
    <w:p>
      <w:pPr>
        <w:pStyle w:val="Heading2"/>
      </w:pPr>
      <w:r>
        <w:t>用户与真实问题</w:t>
      </w:r>
    </w:p>
    <w:p>
      <w:r>
        <w:t>主要用户为收入和支出存在时间错配、需要兼顾固定账单与生活目标的个人。用户知道想做什么，但难以将余额、发薪日、房租、订阅和一次性消费组合成可执行安排。系统帮助用户看清影响、选择安排并完成银行侧操作。</w:t>
      </w:r>
    </w:p>
    <w:p>
      <w:pPr>
        <w:pStyle w:val="Heading2"/>
      </w:pPr>
      <w:r>
        <w:t>主用例</w:t>
      </w:r>
    </w:p>
    <w:p>
      <w:r>
        <w:t>用户说：“下个月想买一台 6000 元的电脑，房租不能耽误，生活费至少留 3000，云盘订阅别动。帮我看看怎么安排。”系统查询账单，识别固定支出和候选周期扣费，确认目标日期与未来收入假设，生成现在购买、发薪后购买、推迟购买等可行方案。</w:t>
      </w:r>
    </w:p>
    <w:p>
      <w:r>
        <w:t>每个方案显示最低余额、触底日期、目标日期和所需操作。用户说“工资可能晚五天”，系统生成新版本并高亮变化。用户选择方案后，单独确认代扣操作与预约转账，必要时完成强验证；界面显示账户和任务的实际状态。</w:t>
      </w:r>
    </w:p>
    <w:p>
      <w:pPr>
        <w:pStyle w:val="Heading2"/>
      </w:pPr>
      <w:r>
        <w:t>数字一致的演示数据</w:t>
      </w:r>
    </w:p>
    <w:p>
      <w:r>
        <w:t>所有金额均为模拟人民币：初始余额 9000；第 5 天房租 3500；第 12 天预计工资 8000；30 天日常开支预算共 2400；第 8 天云盘 30、第 10 天视频代扣 68。保护余额 3000，电脑预算 6000。现在购买会使房租后余额低于保护线；第 13 天购买在该组假设下可行。工资延迟至第 17 天时，系统应调整建议日期并重新计算。</w:t>
      </w:r>
    </w:p>
    <w:p>
      <w:r>
        <w:t>电脑购买只作为模拟现金支出事件，不宣称系统已完成电商采购。可执行银行任务为转账给用户确认的收款人、预约转账和取消支持取消的代扣授权。仅“看看”不产生任何写操作。</w:t>
      </w:r>
    </w:p>
    <w:p>
      <w:pPr>
        <w:pStyle w:val="Heading2"/>
      </w:pPr>
      <w:r>
        <w:t>独立场景</w:t>
      </w:r>
    </w:p>
    <w:p>
      <w:r>
        <w:t>用户也能直接说“给妈妈转 500”“查上月餐饮支出”“找出可能的订阅扣费”。基础能力不依赖完整目标故事，也不要求先点击某个按钮。</w:t>
      </w:r>
    </w:p>
    <w:p>
      <w:r>
        <w:br w:type="page"/>
      </w:r>
    </w:p>
    <w:p>
      <w:pPr>
        <w:pStyle w:val="Heading1"/>
      </w:pPr>
      <w:r>
        <w:t>3 界面与交互设计</w:t>
      </w:r>
    </w:p>
    <w:p>
      <w:r>
        <w:t>桌面端采用银行主界面与助手侧栏；规划任务展开未来账本工作区。手机端采用单列页面和全屏助手，保留同样的权限与确认流程。产品页面只显示用户决策所需的信息，技术日志集中在评审与审计界面。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内容与行为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银行首页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余额、近期交易、订阅、预约任务；来自银行服务，不由助手文本拼装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助手入口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右下角吉祥物，点击一次打开；有文本名称、键盘焦点和关闭入口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对话侧栏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消息、参数追问、操作卡片、执行进度和恢复提示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三个快捷入口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分析账单、管理订阅、规划目标；填充或启动对话，不绕过权限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未来账本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余额曲线、保护线、日期轴、方案对比和可编辑假设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任务中心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待确认、待验证、预约、处理中、结果待查证、成功与失败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评审入口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工具轨迹、规则判定、故障注入和审计事件；独立角色控制</w:t>
            </w:r>
          </w:p>
        </w:tc>
      </w:tr>
    </w:tbl>
    <w:p>
      <w:pPr>
        <w:spacing w:after="20"/>
      </w:pPr>
    </w:p>
    <w:p>
      <w:pPr>
        <w:pStyle w:val="Heading2"/>
      </w:pPr>
      <w:r>
        <w:t>操作卡片</w:t>
      </w:r>
    </w:p>
    <w:p>
      <w:r>
        <w:t>卡片必须显示付款账户尾号、收款人及账号尾号、金额、币种、费用、执行时间、权限等级和有效期。取消代扣显示商户、授权范围、生效时间及影响。用户查看详情后，通过明确按钮确认；聊天中的含糊“嗯”“好像可以”不作为执行授权。</w:t>
      </w:r>
    </w:p>
    <w:p>
      <w:pPr>
        <w:pStyle w:val="Heading2"/>
      </w:pPr>
      <w:r>
        <w:t>交互效率与兜底</w:t>
      </w:r>
    </w:p>
    <w:p>
      <w:r>
        <w:t>同名收款人必须追问；可以从已验证上下文补全的参数不重复追问。“还是上次那个”只能引用本用户授权可见的记录。任务超出范围时，说明无法办理的部分并提供可做的部分；不得把跳转页面当作业务已完成。</w:t>
      </w:r>
    </w:p>
    <w:p>
      <w:r>
        <w:t>颜色配合文字和图标表示状态；曲线提供表格替代；吉祥物动画可关闭。语音输入作为可选增强，转录文本可编辑，付款关键信息仍显示在确认卡片中。</w:t>
      </w:r>
    </w:p>
    <w:p>
      <w:r>
        <w:br w:type="page"/>
      </w:r>
    </w:p>
    <w:p>
      <w:pPr>
        <w:pStyle w:val="Heading1"/>
      </w:pPr>
      <w:r>
        <w:t>4 三个银行业务场景</w:t>
      </w:r>
    </w:p>
    <w:p>
      <w:pPr>
        <w:pStyle w:val="Heading2"/>
      </w:pPr>
      <w:r>
        <w:t>智能转账</w:t>
      </w:r>
    </w:p>
    <w:p>
      <w:r>
        <w:t>支持按已验证联系人姓名、手机号与历史备注检索收款人；展示候选并消除歧义。支持即时与定时转账。手机号或备注用于检索，不允许模型编造账号；首次使用的收款人必须经银行侧校验。用户可取消尚未提交的预约任务，已提交交易只能查询结果或发起受控后续处理。</w:t>
      </w:r>
    </w:p>
    <w:p>
      <w:r>
        <w:t>余额、收款人有效性、费用、每日累计额度和认证状态在提交前重新检查。预约创建时进行对应确认／验证，到期再执行规则检查；银行授权是否允许延后执行、何时须重新验证由接口规则决定。授权失效时暂停并通知用户重新验证。</w:t>
      </w:r>
    </w:p>
    <w:p>
      <w:pPr>
        <w:pStyle w:val="Heading2"/>
      </w:pPr>
      <w:r>
        <w:t>账单分析</w:t>
      </w:r>
    </w:p>
    <w:p>
      <w:r>
        <w:t>提供月度及年度汇总、分类、商户排行、周期扣费和异常交易线索。总额由确定性程序计算；分类可由规则与模型共同完成，低置信度标为待确认。每项统计可展开至原始交易 ID，重复导入不能重复计入。</w:t>
      </w:r>
    </w:p>
    <w:p>
      <w:r>
        <w:t>异常仅表示需核查的线索，例如金额突增、重复扣费或新商户；不能仅凭异常分数断言欺诈。用户纠正分类时更新个人分类规则，并保留原分类及修改记录。</w:t>
      </w:r>
    </w:p>
    <w:p>
      <w:pPr>
        <w:pStyle w:val="Heading2"/>
      </w:pPr>
      <w:r>
        <w:t>订阅及代扣管理</w:t>
      </w:r>
    </w:p>
    <w:p>
      <w:r>
        <w:t>根据商户、周期、金额和授权记录识别候选；显示识别依据与置信度。优先使用银行明确提供的代扣授权。用户选择保护云盘时，它进入计划硬约束，不被自动取消。银行流水无法证明服务是否被使用，系统不得声称“你没用过”。</w:t>
      </w:r>
    </w:p>
    <w:p>
      <w:r>
        <w:t>对银行支持的代扣授权，确认后调用取消接口并查询状态；商户订阅本身是否终止需要商户依据。没有取消接口时，提供指导并标记“尚未取消”，不能伪造成功。用户要求恢复时，只有银行支持且用户重新授权后才可执行。</w:t>
      </w:r>
    </w:p>
    <w:p>
      <w:r>
        <w:br w:type="page"/>
      </w:r>
    </w:p>
    <w:p>
      <w:pPr>
        <w:pStyle w:val="Heading1"/>
      </w:pPr>
      <w:r>
        <w:t>5 意图理解与任务规划</w:t>
      </w:r>
    </w:p>
    <w:p>
      <w:pPr>
        <w:pStyle w:val="Heading2"/>
      </w:pPr>
      <w:r>
        <w:t>结构化意图</w:t>
      </w:r>
    </w:p>
    <w:p>
      <w:r>
        <w:t>LLM 输出受 Schema 约束的 intent、entities、constraints、missing_fields、context_refs 和 proposed_steps。金额、日期、收款人、来源账户必须被后端类型与业务校验。LLM 不持有可直接执行交易的凭据，也不能决定最终权限等级。</w:t>
      </w:r>
    </w:p>
    <w:p>
      <w:r>
        <w:t>上下文区分用户指令、已验证账户数据、外部账单文本与工具结果。会话绑定用户与账户范围，避免跨用户共享上下文。纠正、否定和保护约束优先于旧计划；“别动云盘”“先不要转”必须产生明确的计划变化。</w:t>
      </w:r>
    </w:p>
    <w:p>
      <w:pPr>
        <w:pStyle w:val="Heading2"/>
      </w:pPr>
      <w:r>
        <w:t>DAG 与依赖</w:t>
      </w:r>
    </w:p>
    <w:p>
      <w:r>
        <w:t>目标规划的节点为：查询账户和交易；识别固定支出与候选代扣；取得缺失参数；计算方案；用户选择；权限检查；确认／验证；执行；核验结果。读节点可按依赖并行；写节点按业务依赖受控执行，不因为并行提速而跳过确认。</w:t>
      </w:r>
    </w:p>
    <w:p>
      <w:r>
        <w:t>每个节点记录 node_id、tool_name、inputs、depends_on、preconditions、risk_level、status、result_ref 和 compensation。执行器拒绝循环、缺失依赖、未知工具和越权参数。一个节点失败后，仅阻断依赖它的节点，不把整个计划假报成功。</w:t>
      </w:r>
    </w:p>
    <w:p>
      <w:pPr>
        <w:pStyle w:val="Heading2"/>
      </w:pPr>
      <w:r>
        <w:t>版本与重新规划</w:t>
      </w:r>
    </w:p>
    <w:p>
      <w:r>
        <w:t>修改发薪日、金额、收款人或执行日期均产生新 plan_version。未执行操作重新生成，旧确认和验证凭证不能沿用至发生关键变化的操作。已成功步骤成为新计划的事实输入，不能在重新规划时重复执行。</w:t>
      </w:r>
    </w:p>
    <w:p>
      <w:pPr>
        <w:pStyle w:val="Heading2"/>
      </w:pPr>
      <w:r>
        <w:t>中断与人工接管</w:t>
      </w:r>
    </w:p>
    <w:p>
      <w:r>
        <w:t>用户可暂停后续节点，取消未提交任务；提交中的操作标记“正在查证”，等待权威结果。接管入口展示待决问题、已完成步骤和可选处理方式，用户或受权操作员确认后恢复。回退分为界面草稿恢复和业务补偿，实际转账不承诺自动撤销。</w:t>
      </w:r>
    </w:p>
    <w:p>
      <w:r>
        <w:br w:type="page"/>
      </w:r>
    </w:p>
    <w:p>
      <w:pPr>
        <w:pStyle w:val="Heading1"/>
      </w:pPr>
      <w:r>
        <w:t>6 未来现金流计算与方案比较</w:t>
      </w:r>
    </w:p>
    <w:p>
      <w:pPr>
        <w:pStyle w:val="Heading2"/>
      </w:pPr>
      <w:r>
        <w:t>计算模型</w:t>
      </w:r>
    </w:p>
    <w:p>
      <w:r>
        <w:t>按日计算：B(t) = B(0) + 累计流入(t) − 累计流出(t)。金额以整数分存储；币种固定人民币。若支持资金预留，展示可用余额 A(t) = B(t) − 尚未释放的预留额；预留不是支出，实际扣款时同步释放，避免重复扣减。</w:t>
      </w:r>
    </w:p>
    <w:p>
      <w:r>
        <w:t>每个事件包含日期、金额、方向、来源、状态和假设标签。已发生交易、银行确认的预约、用户确认的计划与统计预测分别展示。工资预测不等于未来到账；日常开支以可编辑预算建模，不能将余额曲线作为保证。</w:t>
      </w:r>
    </w:p>
    <w:p>
      <w:pPr>
        <w:pStyle w:val="Heading2"/>
      </w:pPr>
      <w:r>
        <w:t>约束与搜索</w:t>
      </w:r>
    </w:p>
    <w:p>
      <w:r>
        <w:t>硬约束包括收款人范围、指定账单日期、保护余额、禁止变更的订阅和银行业务限制。目标日期、减少开支和偏好通常是软约束。系统枚举允许的购买日期、候选代扣处理和转账时间，调用确定性计算器过滤不可行方案，按目标延迟、最低余额和操作数量排序。首版使用有限候选搜索，不依赖复杂优化器。</w:t>
      </w:r>
    </w:p>
    <w:p>
      <w:r>
        <w:t>没有可行方案时返回冲突原因，例如“房租后余额已低于 3000”，询问用户愿意调整目标金额还是日期。不能擅自降低保护余额、假设新增贷款或编造收入来使计划可行。</w:t>
      </w:r>
    </w:p>
    <w:p>
      <w:pPr>
        <w:pStyle w:val="Heading2"/>
      </w:pPr>
      <w:r>
        <w:t>不确定性与可解释性</w:t>
      </w:r>
    </w:p>
    <w:p>
      <w:r>
        <w:t>展示基准、工资延迟和开支增加三种情景。没有可靠概率模型时，不给出伪精确成功概率；区间或曲线只代表明示情景。每个建议说明数据日期、假设、最低余额日和受影响操作，用户可修改并重算。</w:t>
      </w:r>
    </w:p>
    <w:p>
      <w:pPr>
        <w:pStyle w:val="Heading2"/>
      </w:pPr>
      <w:r>
        <w:t>创新验收</w:t>
      </w:r>
    </w:p>
    <w:p>
      <w:r>
        <w:t>同一输入可重算出相同金额结果；改变一个假设能展示受影响日期与计划差异；选中的方案能映射到实际支持的银行任务。点击方案只是选择，不能等同于授权执行。</w:t>
      </w:r>
    </w:p>
    <w:p>
      <w:r>
        <w:br w:type="page"/>
      </w:r>
    </w:p>
    <w:p>
      <w:pPr>
        <w:pStyle w:val="Heading1"/>
      </w:pPr>
      <w:r>
        <w:t>7 系统架构与组件边界</w:t>
      </w:r>
    </w:p>
    <w:p>
      <w:r>
        <w:t>建议沿用团队熟悉的 Next.js、TypeScript、FastAPI、PostgreSQL 与 Docker Compose。具体依赖版本在开发时锁定；此处不声明某版本为最新。默认一个规划 Agent 配合确定性服务，避免引入没有必要的多 Agent 协调。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3960"/>
      </w:tblGrid>
      <w:tr>
        <w:trPr>
          <w:cantSplit/>
          <w:tblHeader/>
        </w:trPr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银行首页、助手、未来账本、任务与确认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只展示状态，不能在浏览器中决定权限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对话与规划服务</w:t>
            </w:r>
          </w:p>
        </w:tc>
        <w:tc>
          <w:tcPr>
            <w:tcW w:type="dxa" w:w="38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意图、追问、DAG、解释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输出待校验计划，不直接操作资金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现金流引擎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事件计算、候选搜索、情景对比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无交易权限；结果可复算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策略与授权服务</w:t>
            </w:r>
          </w:p>
        </w:tc>
        <w:tc>
          <w:tcPr>
            <w:tcW w:type="dxa" w:w="38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权限、账户访问、确认与验证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独立于模型，默认拒绝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持久化执行器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执行、预约、重启恢复、核验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只运行校验及授权后的节点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银行适配层</w:t>
            </w:r>
          </w:p>
        </w:tc>
        <w:tc>
          <w:tcPr>
            <w:tcW w:type="dxa" w:w="38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统一查询、转账、代扣、状态接口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切换官方接口或模拟银行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模拟银行服务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余额、账本、授权、交易状态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独立事实源与事务存储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沙箱与审计</w:t>
            </w:r>
          </w:p>
        </w:tc>
        <w:tc>
          <w:tcPr>
            <w:tcW w:type="dxa" w:w="388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限制代码执行、记录事件、评测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无银行密钥，不能绕过执行器</w:t>
            </w:r>
          </w:p>
        </w:tc>
      </w:tr>
    </w:tbl>
    <w:p>
      <w:pPr>
        <w:spacing w:after="20"/>
      </w:pPr>
    </w:p>
    <w:p>
      <w:pPr>
        <w:pStyle w:val="Heading2"/>
      </w:pPr>
      <w:r>
        <w:t>数据流与信任边界</w:t>
      </w:r>
    </w:p>
    <w:p>
      <w:r>
        <w:t>用户请求进入认证 API；规划服务读取授权工具返回的最小数据；计划经 Schema、DAG 和策略检查后写入数据库。用户确认／强验证生成绑定具体操作的授权，执行器经适配层提交，核验后通过 SSE 更新前端。模型文本、外部备注和前端按钮均不作为银行事实或权限依据。</w:t>
      </w:r>
    </w:p>
    <w:p>
      <w:r>
        <w:t>部署至少包含 frontend、backend、worker、postgres、mock-bank 与 sandbox。开发可共用 PostgreSQL 实例但分库或分角色；模拟银行账本与 Agent 执行记录必须分开。生产隔离要求另行评估，不以开发容器数量证明安全。</w:t>
      </w:r>
    </w:p>
    <w:p>
      <w:r>
        <w:br w:type="page"/>
      </w:r>
    </w:p>
    <w:p>
      <w:pPr>
        <w:pStyle w:val="Heading1"/>
      </w:pPr>
      <w:r>
        <w:t>8 权限分级与授权生命周期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4248"/>
      </w:tblGrid>
      <w:tr>
        <w:trPr>
          <w:cantSplit/>
          <w:tblHeader/>
        </w:trPr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级别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业务范围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执行条件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绿色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余额、交易、账单分析等纯查询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身份与账户访问检查后自动；不二次确认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黄色</w:t>
            </w:r>
          </w:p>
        </w:tc>
        <w:tc>
          <w:tcPr>
            <w:tcW w:type="dxa" w:w="460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日累计 ≤1000 元转账、订阅查询及取消</w:t>
            </w:r>
          </w:p>
        </w:tc>
        <w:tc>
          <w:tcPr>
            <w:tcW w:type="dxa" w:w="42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展示详情，获得明确确认后执行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红色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日累计 &gt;1000 元转账等高风险写操作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明确确认并完成独立强验证</w:t>
            </w:r>
          </w:p>
        </w:tc>
      </w:tr>
    </w:tbl>
    <w:p>
      <w:pPr>
        <w:spacing w:after="20"/>
      </w:pPr>
    </w:p>
    <w:p>
      <w:r>
        <w:t>按赛题表格，订阅查询列为黄色；首版从严要求确认，不擅自归入绿色。理财、密码、挂失等延期业务保留规则定义，但未实现不能声称已覆盖。</w:t>
      </w:r>
    </w:p>
    <w:p>
      <w:pPr>
        <w:pStyle w:val="Heading2"/>
      </w:pPr>
      <w:r>
        <w:t>每日累计与并发</w:t>
      </w:r>
    </w:p>
    <w:p>
      <w:r>
        <w:t>按 Asia/Shanghai 自然日计算本人转账累计，不能以拆单绕过阈值。提交时采用数据库锁／原子额度预占，将已成功、处理中与已预占金额纳入保守判定。两笔并发 600 元不能各自按孤立 600 元放行；第二笔须按累计触发红色流程。明确失败才释放预占，结果未知保持锁定待核验。</w:t>
      </w:r>
    </w:p>
    <w:p>
      <w:pPr>
        <w:pStyle w:val="Heading2"/>
      </w:pPr>
      <w:r>
        <w:t>授权绑定</w:t>
      </w:r>
    </w:p>
    <w:p>
      <w:r>
        <w:t>授权记录绑定 user_id、account_id、operation_id、plan_version、收款人、金额、币种、费用、执行日期、有效期和操作摘要。后端生成摘要并验证，不信任前端传入的“已确认”。摘要校验只能防参数变化，不能替代真实用户授权。</w:t>
      </w:r>
    </w:p>
    <w:p>
      <w:r>
        <w:t>建议确认有效期 5 分钟，强验证凭证单次使用并绑定操作；参数变化、会话身份变化或过期立即失效。预约授权采用独立有效期与银行规则，不能套用即时交易的 5 分钟规则。</w:t>
      </w:r>
    </w:p>
    <w:p>
      <w:pPr>
        <w:pStyle w:val="Heading2"/>
      </w:pPr>
      <w:r>
        <w:t>强验证设计</w:t>
      </w:r>
    </w:p>
    <w:p>
      <w:r>
        <w:t>原型可实现密码登录加本机认证器 TOTP 验证，后端校验且验证码不进入 LLM。银行官方环境优先使用其认证服务；是否认可本方案方式需要组委会确认。模拟短信只用于演示，界面必须标明，固定万能验证码不得出现在正式执行路径。</w:t>
      </w:r>
    </w:p>
    <w:p>
      <w:r>
        <w:br w:type="page"/>
      </w:r>
    </w:p>
    <w:p>
      <w:pPr>
        <w:pStyle w:val="Heading1"/>
      </w:pPr>
      <w:r>
        <w:t>9 安全防护与受限代码执行</w:t>
      </w:r>
    </w:p>
    <w:p>
      <w:pPr>
        <w:pStyle w:val="Heading2"/>
      </w:pPr>
      <w:r>
        <w:t>幻觉与注入防御</w:t>
      </w:r>
    </w:p>
    <w:p>
      <w:r>
        <w:t>账户余额与交易结果引用银行工具的结构化返回及时间戳。无结果、超时或状态冲突时显示待查证，不允许模型说“已转账成功”。外部备注、商户名、导入文件与工具文本只能作为数据，不能覆盖系统规则或追加新工具调用。</w:t>
      </w:r>
    </w:p>
    <w:p>
      <w:r>
        <w:t>采用结构化输出、工具白名单、参数校验、主体绑定和独立策略服务。提示词中的“我是管理员”“忽略限制”不改变角色。跨用户 account_id、直接 API 越权、恶意收款地址和外部文本诱导写操作均在后端拒绝。只靠提示词声明不构成安全控制。</w:t>
      </w:r>
    </w:p>
    <w:p>
      <w:pPr>
        <w:pStyle w:val="Heading2"/>
      </w:pPr>
      <w:r>
        <w:t>信息保护与诱导转账</w:t>
      </w:r>
    </w:p>
    <w:p>
      <w:r>
        <w:t>查询限定本用户授权账户；模型仅收到必要字段，默认脱敏账号，不接收密码、OTP 或银行密钥。第三方收款、新收款人、异常金额等触发具体提示；疑似骗局可暂停并请求人工核查。规则提示是风险辅助，不承诺识别所有诈骗。日志脱敏并限制审计访问。</w:t>
      </w:r>
    </w:p>
    <w:p>
      <w:pPr>
        <w:pStyle w:val="Heading2"/>
      </w:pPr>
      <w:r>
        <w:t>异常熔断</w:t>
      </w:r>
    </w:p>
    <w:p>
      <w:r>
        <w:t>原型默认：同一会话 10 分钟内三次验证失败锁定写操作 15 分钟；明确越权调用立即阻断并记录；工具连续三次基础设施失败暂停该工具的新写操作。阈值可配置，读取和状态核验尽量保留。解除由有效认证或受权操作员完成，LLM 无权解锁。</w:t>
      </w:r>
    </w:p>
    <w:p>
      <w:pPr>
        <w:pStyle w:val="Heading2"/>
      </w:pPr>
      <w:r>
        <w:t>代码沙箱</w:t>
      </w:r>
    </w:p>
    <w:p>
      <w:r>
        <w:t>为明确覆盖沙箱要求，首版提供受限分析任务：仅在用户授权的脱敏账单快照上运行统计代码。独立非 root 容器、只读根文件系统、无网络、无宿主挂载与 Docker socket、无银行凭据；临时目录有配额，CPU、内存、进程数、运行时间与输出大小受限。初始限制为 1 CPU、256 MB、32 进程、3 秒及 1 MB 输出。</w:t>
      </w:r>
    </w:p>
    <w:p>
      <w:r>
        <w:t>代码预检查与系统级限制同时使用，测试越权文件读、联网、死循环和资源耗尽。结果需 Schema 校验，金额统计可与固定计算器交叉核对。代码沙箱不执行转账，不将 AST 检查等同于完整安全隔离。</w:t>
      </w:r>
    </w:p>
    <w:p>
      <w:r>
        <w:br w:type="page"/>
      </w:r>
    </w:p>
    <w:p>
      <w:pPr>
        <w:pStyle w:val="Heading1"/>
      </w:pPr>
      <w:r>
        <w:t>10 执行状态机与失败恢复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552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允许行为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DRAFT／NEEDS_INFO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编辑、追问、取消；无资金操作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NEEDS_CONFIRM／NEEDS_AUTH</w:t>
            </w:r>
          </w:p>
        </w:tc>
        <w:tc>
          <w:tcPr>
            <w:tcW w:type="dxa" w:w="65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展示详情、确认、验证；过期重走流程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READY／SCHEDULED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前置条件检查；允许取消未提交任务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SUBMITTING</w:t>
            </w:r>
          </w:p>
        </w:tc>
        <w:tc>
          <w:tcPr>
            <w:tcW w:type="dxa" w:w="65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单次提交；不能因用户重复点击再提交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PENDING_UNKNOWN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保留额度预占，查询交易状态，禁止盲目重试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SUCCEEDED／FAILED</w:t>
            </w:r>
          </w:p>
        </w:tc>
        <w:tc>
          <w:tcPr>
            <w:tcW w:type="dxa" w:w="65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以银行结果终结；失败分类后决定重新规划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CANCELLED／EXPIRED／LOCKED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不提交；需要新计划或新授权</w:t>
            </w:r>
          </w:p>
        </w:tc>
      </w:tr>
    </w:tbl>
    <w:p>
      <w:pPr>
        <w:spacing w:after="20"/>
      </w:pPr>
    </w:p>
    <w:p>
      <w:pPr>
        <w:pStyle w:val="Heading2"/>
      </w:pPr>
      <w:r>
        <w:t>幂等与结果核验</w:t>
      </w:r>
    </w:p>
    <w:p>
      <w:r>
        <w:t>为每个业务操作生成稳定 idempotency_key，数据库设置用户与操作唯一约束。重复点击返回已有任务。若银行支持幂等提交，传入同一 key；若不支持，则依赖银行交易查询和提交前后记录，不能宣称实现跨系统“恰好一次”。</w:t>
      </w:r>
    </w:p>
    <w:p>
      <w:r>
        <w:t>银行扣款成功但响应丢失时进入 PENDING_UNKNOWN。以交易 ID、幂等键或银行提供的查询标识核验；查到成功就补记结果，明确失败才允许新尝试；无法查证则接管，不能因为超时再次付款。</w:t>
      </w:r>
    </w:p>
    <w:p>
      <w:pPr>
        <w:pStyle w:val="Heading2"/>
      </w:pPr>
      <w:r>
        <w:t>持久化与重启</w:t>
      </w:r>
    </w:p>
    <w:p>
      <w:r>
        <w:t>计划、节点、授权、额度预占和提交意图先入库；使用事务 Outbox 通知执行器。worker 重启从数据库恢复，按 lease 与版本防止双 worker 同时执行；SUBMITTING 与未知状态优先核验。Checkpoint 只记录进度，不替代银行侧去重与结果查询。</w:t>
      </w:r>
    </w:p>
    <w:p>
      <w:pPr>
        <w:pStyle w:val="Heading2"/>
      </w:pPr>
      <w:r>
        <w:t>回退与补偿</w:t>
      </w:r>
    </w:p>
    <w:p>
      <w:r>
        <w:t>未提交步骤可以撤销，预约任务按银行接口取消。取消代扣后恢复授权或转账后退款属于新的业务操作，需新的授权与验证。跨步骤无法全部原子完成时显示部分成功及剩余任务，由用户选择继续或补偿，不隐藏已发生动作。</w:t>
      </w:r>
    </w:p>
    <w:p>
      <w:r>
        <w:br w:type="page"/>
      </w:r>
    </w:p>
    <w:p>
      <w:pPr>
        <w:pStyle w:val="Heading1"/>
      </w:pPr>
      <w:r>
        <w:t>11 数据模型与审计记录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实体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users／sessions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身份、角色、会话有效期；不在模型中存凭据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accounts／recipients</w:t>
            </w:r>
          </w:p>
        </w:tc>
        <w:tc>
          <w:tcPr>
            <w:tcW w:type="dxa" w:w="66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银行标识、归属、币种、验证状态；访问范围校验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外部交易 ID、分金额、方向、时间、状态；去重唯一键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subscriptions</w:t>
            </w:r>
          </w:p>
        </w:tc>
        <w:tc>
          <w:tcPr>
            <w:tcW w:type="dxa" w:w="66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商户、周期、候选依据、授权 ID、取消能力、保护标记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goals／cashflow_events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目标、约束、事件日期、来源、假设和状态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plans／plan_nodes</w:t>
            </w:r>
          </w:p>
        </w:tc>
        <w:tc>
          <w:tcPr>
            <w:tcW w:type="dxa" w:w="66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计划版本、依赖、工具参数、状态与结果引用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authorizations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绑定参数摘要、确认时间、认证引用、到期与使用状态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operations／quota_reservations</w:t>
            </w:r>
          </w:p>
        </w:tc>
        <w:tc>
          <w:tcPr>
            <w:tcW w:type="dxa" w:w="66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幂等键、银行 ID、状态、额度日与预占分金额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audit_events／outbox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事件顺序、主体、规则依据、结果摘要与派发状态</w:t>
            </w:r>
          </w:p>
        </w:tc>
      </w:tr>
    </w:tbl>
    <w:p>
      <w:pPr>
        <w:spacing w:after="20"/>
      </w:pPr>
    </w:p>
    <w:p>
      <w:pPr>
        <w:pStyle w:val="Heading2"/>
      </w:pPr>
      <w:r>
        <w:t>审计的决策链路</w:t>
      </w:r>
    </w:p>
    <w:p>
      <w:r>
        <w:t>记录用户原始需求、结构化意图、数据引用、计划版本、规则触发原因、授权／认证结果、工具请求摘要、实际返回、状态变化及接管动作。这里的“决策链路”指可审计的依据和事件，不要求保存模型隐藏思维链。</w:t>
      </w:r>
    </w:p>
    <w:p>
      <w:pPr>
        <w:pStyle w:val="Heading2"/>
      </w:pPr>
      <w:r>
        <w:t>完整性与隐私</w:t>
      </w:r>
    </w:p>
    <w:p>
      <w:r>
        <w:t>审计写入专用追加接口，业务角色无删除权限；可增加事件哈希链和离线导出以帮助发现修改，但不能宣称防止所有管理员篡改。原型仅使用虚构账户与脱敏数据；默认保留测试审计 30 天，真实业务保留期限由银行及适用要求另行确定。</w:t>
      </w:r>
    </w:p>
    <w:p>
      <w:pPr>
        <w:pStyle w:val="Heading2"/>
      </w:pPr>
      <w:r>
        <w:t>模拟银行事实源</w:t>
      </w:r>
    </w:p>
    <w:p>
      <w:r>
        <w:t>mock-bank 独立存储账户余额、复式或平衡账本记录、转账状态和代扣授权。成功转账在单个数据库事务中借记与贷记，余额和流水一致；Agent 只能通过 API 操作，不能直接修改账本使演示看起来成功。重置种子数据只开放给评审角色。</w:t>
      </w:r>
    </w:p>
    <w:p>
      <w:r>
        <w:br w:type="page"/>
      </w:r>
    </w:p>
    <w:p>
      <w:pPr>
        <w:pStyle w:val="Heading1"/>
      </w:pPr>
      <w:r>
        <w:t>12 接口契约与部署设计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752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接口示例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语义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/api/chat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输入文本与会话；返回消息、待补字段和计划引用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/api/plans/{id}/simulate</w:t>
            </w:r>
          </w:p>
        </w:tc>
        <w:tc>
          <w:tcPr>
            <w:tcW w:type="dxa" w:w="47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按指定版本与假设重算，不产生写操作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/api/operations/{id}/confirm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确认具体参数摘要；版本冲突拒绝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/api/operations/{id}/verify</w:t>
            </w:r>
          </w:p>
        </w:tc>
        <w:tc>
          <w:tcPr>
            <w:tcW w:type="dxa" w:w="47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验证单次强认证；结果不进入模型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/api/operations/{id}/execute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仅接受有效授权，返回 operation_id 与状态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/api/operations/{id}</w:t>
            </w:r>
          </w:p>
        </w:tc>
        <w:tc>
          <w:tcPr>
            <w:tcW w:type="dxa" w:w="47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查当前状态及银行结果依据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POST /api/tasks/{id}/cancel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取消未提交节点或调用支持的预约取消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GET /api/events</w:t>
            </w:r>
          </w:p>
        </w:tc>
        <w:tc>
          <w:tcPr>
            <w:tcW w:type="dxa" w:w="47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SSE 事件流；断线后按 event_id 续接</w:t>
            </w:r>
          </w:p>
        </w:tc>
      </w:tr>
    </w:tbl>
    <w:p>
      <w:pPr>
        <w:spacing w:after="20"/>
      </w:pPr>
    </w:p>
    <w:p>
      <w:r>
        <w:t>银行适配契约至少包括 get_balance、list_transactions、resolve_recipient、quote_transfer、submit_transfer、get_transfer_status、list_mandates、cancel_mandate 和 get_mandate_status。接口无能力时返回明确 unsupported，不使用模型补造结果。</w:t>
      </w:r>
    </w:p>
    <w:p>
      <w:pPr>
        <w:pStyle w:val="Heading2"/>
      </w:pPr>
      <w:r>
        <w:t>契约规则</w:t>
      </w:r>
    </w:p>
    <w:p>
      <w:r>
        <w:t>写请求包含操作 ID、plan_version 和幂等键；user_id 从认证上下文取得。金额统一整数分，时间同时保存 UTC 与 Asia/Shanghai 展示。错误包含 code、recoverable、next_action；AUTH_REQUIRED、PLAN_STALE、INSUFFICIENT_FUNDS、PENDING_UNKNOWN 等由前端明确展示。</w:t>
      </w:r>
    </w:p>
    <w:p>
      <w:pPr>
        <w:pStyle w:val="Heading2"/>
      </w:pPr>
      <w:r>
        <w:t>部署与开发环境</w:t>
      </w:r>
    </w:p>
    <w:p>
      <w:r>
        <w:t>Docker Compose 一键启动，提供 .env.example、数据库迁移、健康检查、种子导入及 Windows PowerShell 命令。密钥只在服务端环境变量或秘密管理中使用，不提交 Git；LLM 不可用时基础银行页面仍可查询，规划明确报错。</w:t>
      </w:r>
    </w:p>
    <w:p>
      <w:r>
        <w:t>预约与恢复由独立 worker 执行，不能依赖用户浏览器保持打开。服务端鉴权、HTTPS、请求限流、CORS／CSRF 按部署模式设置；生产接入需另外验证官方接口、认证、网络和数据处理要求。</w:t>
      </w:r>
    </w:p>
    <w:p>
      <w:r>
        <w:br w:type="page"/>
      </w:r>
    </w:p>
    <w:p>
      <w:pPr>
        <w:pStyle w:val="Heading1"/>
      </w:pPr>
      <w:r>
        <w:t>13 测试与可量化验收</w:t>
      </w:r>
    </w:p>
    <w:p>
      <w:r>
        <w:t>以下为建议验收目标，不是当前成绩。建立版本固定、可重复运行的测试集，记录总数、通过数、失败原因、工具轨迹与最终银行状态。功能和安全测试分开报告，防止用大量简单查询掩盖高风险失败。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"/>
        <w:gridCol w:w="5760"/>
      </w:tblGrid>
      <w:tr>
        <w:trPr>
          <w:cantSplit/>
          <w:tblHeader/>
        </w:trPr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测试组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建议数量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关键断言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三个独立业务场景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金额统计正确；收款人与代扣状态一致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上下文和任务规划</w:t>
            </w:r>
          </w:p>
        </w:tc>
        <w:tc>
          <w:tcPr>
            <w:tcW w:type="dxa" w:w="11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歧义追问、否定约束、DAG 依赖与版本有效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权限和攻击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注入、越权、拆单、并发与失效授权被阻断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故障与恢复</w:t>
            </w:r>
          </w:p>
        </w:tc>
        <w:tc>
          <w:tcPr>
            <w:tcW w:type="dxa" w:w="11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超时、响应丢失、重启、重复点击无重复付款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现金流与交互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计算可复算、条件改变重规划、兜底明确</w:t>
            </w:r>
          </w:p>
        </w:tc>
      </w:tr>
    </w:tbl>
    <w:p>
      <w:pPr>
        <w:spacing w:after="20"/>
      </w:pPr>
    </w:p>
    <w:p>
      <w:pPr>
        <w:pStyle w:val="Heading2"/>
      </w:pPr>
      <w:r>
        <w:t>首版通过标准</w:t>
      </w:r>
    </w:p>
    <w:p>
      <w:r>
        <w:t>100 个固定测试全部符合预期；指定测试集中未经授权写操作和重复付款均为 0；三个场景每个至少有一条完整成功路径和两条失败路径。该测试范围内为 0 不代表真实世界风险为 0。</w:t>
      </w:r>
    </w:p>
    <w:p>
      <w:r>
        <w:t>现金流整数计算与预期逐日一致；模拟银行余额和流水一致；权限后端不可绕过；新计划不能使用旧授权；worker 重启后能够恢复未知任务并查询。相同数据与假设下方案计算可重复，LLM 表述允许变化。</w:t>
      </w:r>
    </w:p>
    <w:p>
      <w:pPr>
        <w:pStyle w:val="Heading2"/>
      </w:pPr>
      <w:r>
        <w:t>演示与效率测量</w:t>
      </w:r>
    </w:p>
    <w:p>
      <w:r>
        <w:t>10 个代表性交互记录追问轮数、用户确认次数、端到端耗时与工具延迟；参数完整的简单查询不追问，收款人歧义必须追问。建议目标为首个状态反馈 1 秒内、简单查询在测试环境中 P95 10 秒内，模型和部署配置写入报告；超时必须可见且可恢复。</w:t>
      </w:r>
    </w:p>
    <w:p>
      <w:pPr>
        <w:pStyle w:val="Heading2"/>
      </w:pPr>
      <w:r>
        <w:t>关键故障注入</w:t>
      </w:r>
    </w:p>
    <w:p>
      <w:r>
        <w:t>至少演示银行提交前失败、银行成功后响应丢失、持续 pending、应用写回前崩溃、并发重复点击、验证失败、恶意交易备注及工资日期变化。每次重置数据、执行脚本并核对银行最终状态，不能仅检查聊天回答。</w:t>
      </w:r>
    </w:p>
    <w:p>
      <w:r>
        <w:br w:type="page"/>
      </w:r>
    </w:p>
    <w:p>
      <w:pPr>
        <w:pStyle w:val="Heading1"/>
      </w:pPr>
      <w:r>
        <w:t>14 开发顺序与团队分工</w:t>
      </w:r>
    </w:p>
    <w:p>
      <w:r>
        <w:t>采用按验收门槛推进的开发顺序；下面的人日是粗略计划估算，需按实际团队人数、接口条件和每日投入修订，不是交付承诺。各阶段发现缺陷先解决，再增加业务范围。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816"/>
        <w:gridCol w:w="3600"/>
      </w:tblGrid>
      <w:tr>
        <w:trPr>
          <w:cantSplit/>
          <w:tblHeader/>
        </w:trPr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成果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验收门槛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基础环境 2 至 3 人日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 API、数据模型、种子、登录、首页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手动操作余额与账本一致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执行安全 4 至 6 人日</w:t>
            </w:r>
          </w:p>
        </w:tc>
        <w:tc>
          <w:tcPr>
            <w:tcW w:type="dxa" w:w="38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三级权限、授权、强验证、幂等与核验</w:t>
            </w:r>
          </w:p>
        </w:tc>
        <w:tc>
          <w:tcPr>
            <w:tcW w:type="dxa" w:w="36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并发额度与响应丢失测试通过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场景与 Agent 5 至 7 人日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三个场景、追问、DAG、版本和任务中心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各场景成功失败路径可复现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未来账本 4 至 6 人日</w:t>
            </w:r>
          </w:p>
        </w:tc>
        <w:tc>
          <w:tcPr>
            <w:tcW w:type="dxa" w:w="38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现金流、约束、情景比较、重新规划</w:t>
            </w:r>
          </w:p>
        </w:tc>
        <w:tc>
          <w:tcPr>
            <w:tcW w:type="dxa" w:w="36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数值计算与操作映射可核验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界面与沙箱 3 至 5 人日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助手入口、移动适配、受限分析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操作确认与资源隔离测试通过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整体验收 3 至 5 人日</w:t>
            </w:r>
          </w:p>
        </w:tc>
        <w:tc>
          <w:tcPr>
            <w:tcW w:type="dxa" w:w="38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100 测试、材料、视频和答辩排练</w:t>
            </w:r>
          </w:p>
        </w:tc>
        <w:tc>
          <w:tcPr>
            <w:tcW w:type="dxa" w:w="360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固定环境一键演示与独立部署</w:t>
            </w:r>
          </w:p>
        </w:tc>
      </w:tr>
    </w:tbl>
    <w:p>
      <w:pPr>
        <w:spacing w:after="20"/>
      </w:pPr>
    </w:p>
    <w:p>
      <w:pPr>
        <w:pStyle w:val="Heading2"/>
      </w:pPr>
      <w:r>
        <w:t>角色分工</w:t>
      </w:r>
    </w:p>
    <w:p>
      <w:r>
        <w:t>两人团队：一人负责银行后端、安全、执行与恢复；一人负责 Agent、现金流和前端；共同做集成与材料。三人团队把 Agent／现金流与前端拆开。四至五人团队增加测试安全和展示材料负责人，但每个接口仍有明确单一负责人。</w:t>
      </w:r>
    </w:p>
    <w:p>
      <w:pPr>
        <w:pStyle w:val="Heading2"/>
      </w:pPr>
      <w:r>
        <w:t>控制范围</w:t>
      </w:r>
    </w:p>
    <w:p>
      <w:r>
        <w:t>先完成无需 LLM 的银行闭环，再连接 Agent；先用固定工具计算现金流，再加入沙箱分析。吉祥物先做静态形象和少量状态，不增加复杂动画制作。若进度紧张，优先删除语音、动画和额外渠道，不能删除三级权限、恢复或三个业务场景。</w:t>
      </w:r>
    </w:p>
    <w:p>
      <w:pPr>
        <w:pStyle w:val="Heading2"/>
      </w:pPr>
      <w:r>
        <w:t>原创性与代码来源</w:t>
      </w:r>
    </w:p>
    <w:p>
      <w:r>
        <w:t>保留团队设计、提交与测试记录；使用开源框架时记录项目地址、许可证和修改范围。往届获奖作品只作为问题选择与展示参考，不复制其商业声明或将其成果归为本团队。</w:t>
      </w:r>
    </w:p>
    <w:p>
      <w:r>
        <w:br w:type="page"/>
      </w:r>
    </w:p>
    <w:p>
      <w:pPr>
        <w:pStyle w:val="Heading1"/>
      </w:pPr>
      <w:r>
        <w:t>15 五分钟演示与十分钟答辩</w:t>
      </w:r>
    </w:p>
    <w:p>
      <w:pPr>
        <w:pStyle w:val="Heading2"/>
      </w:pPr>
      <w:r>
        <w:t>五分钟演示视频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4320"/>
      </w:tblGrid>
      <w:tr>
        <w:trPr>
          <w:cantSplit/>
          <w:tblHeader/>
        </w:trPr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演示</w:t>
            </w:r>
          </w:p>
        </w:tc>
        <w:tc>
          <w:tcPr>
            <w:tcW w:type="dxa" w:w="3312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评委能核验什么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0:00 至 0:30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银行首页与自然语言目标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余额、交易、保护订阅和需求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0:30 至 1:40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查询账单与方案比较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三个场景联动、依据与现金流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1:40 至 2:20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工资延迟五天后重新规划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日期变化、旧方案冲突、新版本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2:20 至 3:30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确认代扣和转账，完成强验证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权限判定、账户状态实际更新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3:30 至 4:20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付款成功但响应丢失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待查证、核验、只有一笔付款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4:20 至 5:00</w:t>
            </w:r>
          </w:p>
        </w:tc>
        <w:tc>
          <w:tcPr>
            <w:tcW w:type="dxa" w:w="396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注入备注与审计摘要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越权请求被拒，授权与结果可追溯</w:t>
            </w:r>
          </w:p>
        </w:tc>
      </w:tr>
    </w:tbl>
    <w:p>
      <w:pPr>
        <w:spacing w:after="20"/>
      </w:pPr>
    </w:p>
    <w:p>
      <w:r>
        <w:t>录制前核对时间与数据，复杂步骤可使用连续清晰剪辑，不能剪掉确认或把预置结果伪装成实时执行。模拟银行和模拟验证的标签始终可见。攻击演示应短且具体，重点说明实际阻断的位置。</w:t>
      </w:r>
    </w:p>
    <w:p>
      <w:pPr>
        <w:pStyle w:val="Heading2"/>
      </w:pPr>
      <w:r>
        <w:t>十分钟答辩结构</w:t>
      </w:r>
    </w:p>
    <w:p>
      <w:r>
        <w:t>问题与定位 1 分钟；主流程演示 3 分钟；架构与安全 2 分钟；测试结果及失败恢复 2 分钟；创新差异、落地条件和已知限制 2 分钟。测试部分只展示真实跑出的结果，设计目标不能冒充已达到指标。</w:t>
      </w:r>
    </w:p>
    <w:p>
      <w:pPr>
        <w:pStyle w:val="Heading2"/>
      </w:pPr>
      <w:r>
        <w:t>需要讲清的差异</w:t>
      </w:r>
    </w:p>
    <w:p>
      <w:r>
        <w:t>自然语言目标转为可编辑约束；多个未来方案有计算依据；用户修改条件能重规划；最终选择能落到受控银行操作。吉祥物与界面帮助理解，主要创新来自这一整条决策和执行链路。</w:t>
      </w:r>
    </w:p>
    <w:p>
      <w:pPr>
        <w:pStyle w:val="Heading2"/>
      </w:pPr>
      <w:r>
        <w:t>评审追问准备</w:t>
      </w:r>
    </w:p>
    <w:p>
      <w:r>
        <w:t>解释为何不用 LLM 做金额计算、为何超时不直接重试、如何阻止拆单与并发绕限、预测收入为什么不保证到账、取消代扣为何不等于取消商户合同、为何旧计划授权不能用于新计划。每个回答对应代码、测试或审计依据。</w:t>
      </w:r>
    </w:p>
    <w:p>
      <w:r>
        <w:br w:type="page"/>
      </w:r>
    </w:p>
    <w:p>
      <w:pPr>
        <w:pStyle w:val="Heading1"/>
      </w:pPr>
      <w:r>
        <w:t>16 作品资料与安全自评</w:t>
      </w:r>
    </w:p>
    <w:p>
      <w:pPr>
        <w:pStyle w:val="Heading2"/>
      </w:pPr>
      <w:r>
        <w:t>200 字以内作品简介草稿</w:t>
      </w:r>
    </w:p>
    <w:p>
      <w:r>
        <w:t>未来账本是一款目标驱动的银行 AI 智能体。用户用自然语言描述生活目标与资金约束，系统分析账单、识别订阅及代扣、预演未来现金流并比较可行方案；条件变化时自动重新规划。用户选定方案后，系统按三级权限完成转账及代扣操作，通过独立验证、注入防御、审计和结果核验控制风险。项目结合大模型意图理解、DAG 规划与确定性计算，在模拟银行中展示完整业务闭环。</w:t>
      </w:r>
    </w:p>
    <w:p>
      <w:pPr>
        <w:pStyle w:val="Heading2"/>
      </w:pPr>
      <w:r>
        <w:t>提交清单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必须包含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技术文档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架构、意图与 DAG、现金流算法、权限与安全、接口边界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源码与 README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GitHub 地址、许可证、安装、配置、启动、迁移、种子、测试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测试用例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固定输入、预期银行状态、故障注入、测试环境与真实结果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答辩 PPT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不超过 10 分钟的内容与可核验结果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演示视频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不超过 5 分钟，标注模拟环境与验证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安全自评</w:t>
            </w:r>
          </w:p>
        </w:tc>
        <w:tc>
          <w:tcPr>
            <w:tcW w:type="dxa" w:w="78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三级权限实现、威胁测试、已知风险和未覆盖能力</w:t>
            </w:r>
          </w:p>
        </w:tc>
      </w:tr>
    </w:tbl>
    <w:p>
      <w:pPr>
        <w:spacing w:after="20"/>
      </w:pPr>
    </w:p>
    <w:p>
      <w:pPr>
        <w:pStyle w:val="Heading2"/>
      </w:pPr>
      <w:r>
        <w:t>已知风险清单</w:t>
      </w:r>
    </w:p>
    <w:p>
      <w:r>
        <w:t>至少列明：LLM 意图误判、历史分类错误、未来收入和消费不确定、诈骗规则漏报误报、银行接口不支持查询或幂等、部分完成无法撤销、账户数据过期、预约授权过期、沙箱逃逸残余风险、日志及凭据泄露、商户取消能力限制。每项写出触发条件、现有控制、残余影响和人工处理方式。</w:t>
      </w:r>
    </w:p>
    <w:p>
      <w:pPr>
        <w:pStyle w:val="Heading2"/>
      </w:pPr>
      <w:r>
        <w:t>报告措辞</w:t>
      </w:r>
    </w:p>
    <w:p>
      <w:r>
        <w:t>区分“已实现且通过测试”“已实现但仍有风险”“设计预留”“尚未实现”。使用“测试集中未出现”而不是“绝对安全”；使用“根据这些假设可行”而不是“保证不会缺钱”。</w:t>
      </w:r>
    </w:p>
    <w:p>
      <w:r>
        <w:br w:type="page"/>
      </w:r>
    </w:p>
    <w:p>
      <w:pPr>
        <w:pStyle w:val="Heading1"/>
      </w:pPr>
      <w:r>
        <w:t>17 外部确认事项与最终验收门槛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840"/>
      </w:tblGrid>
      <w:tr>
        <w:trPr>
          <w:cantSplit/>
          <w:tblHeader/>
        </w:trPr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确认事项</w:t>
            </w:r>
          </w:p>
        </w:tc>
        <w:tc>
          <w:tcPr>
            <w:tcW w:type="dxa" w:w="4968"/>
            <w:vAlign w:val="center"/>
            <w:shd w:fill="DB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当前设计与处理方式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是否提供官方银行接口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先建适配层与模拟银行；获得接口后跑相同契约测试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是否接受模拟银行</w:t>
            </w:r>
          </w:p>
        </w:tc>
        <w:tc>
          <w:tcPr>
            <w:tcW w:type="dxa" w:w="68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未确认；正式材料明确标注，不宣称真实资金接入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强验证认可方式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优先官方流程；原型 TOTP 或演示短信须确认接受范围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APP 与渠道要求</w:t>
            </w:r>
          </w:p>
        </w:tc>
        <w:tc>
          <w:tcPr>
            <w:tcW w:type="dxa" w:w="68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移动 Web 为首版入口；如需原生或 IM，再增加薄客户端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代码沙箱具体验收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提供受限分析沙箱；确认运行环境与演示要求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订阅查询权限表歧义</w:t>
            </w:r>
          </w:p>
        </w:tc>
        <w:tc>
          <w:tcPr>
            <w:tcW w:type="dxa" w:w="68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首版按黄色执行；取得答复后更新统一规则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港大学生国内赛道资格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须由报名规则或组委会确认，本文不替代资格判定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最新截止与交付规则</w:t>
            </w:r>
          </w:p>
        </w:tc>
        <w:tc>
          <w:tcPr>
            <w:tcW w:type="dxa" w:w="684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提交前重新核对官方通知；本文不依赖旧时间线</w:t>
            </w:r>
          </w:p>
        </w:tc>
      </w:tr>
    </w:tbl>
    <w:p>
      <w:pPr>
        <w:spacing w:after="20"/>
      </w:pPr>
    </w:p>
    <w:p>
      <w:pPr>
        <w:pStyle w:val="Heading2"/>
      </w:pPr>
      <w:r>
        <w:t>完成定义</w:t>
      </w:r>
    </w:p>
    <w:p>
      <w:r>
        <w:t>三个业务场景能够独立与联动执行；未来现金流可复算、假设可编辑；全部写操作经过后端权限检查；黄色和红色操作不能跳过确认／验证；账户状态与银行结果一致；未知结果能够恢复查询；持久化 worker 支持重启；受限代码沙箱及安全攻击测试可复现。</w:t>
      </w:r>
    </w:p>
    <w:p>
      <w:r>
        <w:t>完成固定测试集并保存真实结果；另一台机器按照 README 能部署和演示；视频、PPT、源码、技术文档及安全自评齐备；所有模拟、未实现和外部依赖均明确标注。只有达到这些条件，才可声称方案已落实，而不是仅有界面或设计。</w:t>
      </w:r>
    </w:p>
    <w:p>
      <w:pPr>
        <w:pStyle w:val="Heading2"/>
      </w:pPr>
      <w:r>
        <w:t>下一步开发依据</w:t>
      </w:r>
    </w:p>
    <w:p>
      <w:r>
        <w:t>本文件作为设计评审版本。开发前确认接口、模拟环境和团队资源，将接口及测试任务拆到实现计划；设计变更必须更新版本和验收条目。任务完成、安全边界与数据真实性优先于扩展场景数量。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设计版本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未来账本  银行 AI 智能体设计方案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SC" w:hAnsi="Noto Sans SC" w:eastAsia="Noto Sans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未来账本银行 AI 智能体完整设计方案</dc:title>
  <dc:subject>产品 技术 安全 验收 与比赛交付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