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ny"/>
      </w:pPr>
      <w:r>
        <w:t>2026 微众银行金融科技大学生挑战赛 · 国内人工智能赛道</w:t>
      </w:r>
    </w:p>
    <w:p>
      <w:pPr>
        <w:pStyle w:val="Title"/>
      </w:pPr>
      <w:r>
        <w:t>未来账本  FutureLedger</w:t>
      </w:r>
    </w:p>
    <w:p>
      <w:pPr>
        <w:pStyle w:val="Subtitle"/>
      </w:pPr>
      <w:r>
        <w:t>银行 AI 智能体（AI Banking Agent）｜自然语言规划 · 银行业务执行 · 安全与可审计</w:t>
      </w:r>
    </w:p>
    <w:p>
      <w:pPr>
        <w:pStyle w:val="Heading1"/>
      </w:pPr>
      <w:r>
        <w:t>01   参赛定位：AI 代人操作银行，而不只是理财聊天</w:t>
      </w:r>
    </w:p>
    <w:p>
      <w:pPr>
        <w:pStyle w:val="Callout"/>
      </w:pPr>
      <w:r>
        <w:t>FutureLedger 是一个面向数字银行的任务型 AI Agent。用户用自然语言提出金融需求，系统理解意图、读取授权账户数据、规划操作步骤；读取可以自动完成，涉及资金或授权变更时必须由用户确认，再经银行后端执行并核验结果。</w:t>
      </w:r>
    </w:p>
    <w:p>
      <w:pPr>
        <w:pStyle w:val="Heading1"/>
      </w:pPr>
      <w:r>
        <w:t>02   国内赛道要求 → 首版明确交付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054"/>
        <w:gridCol w:w="3912"/>
      </w:tblGrid>
      <w:tr>
        <w:trPr>
          <w:cantSplit/>
          <w:tblHeader w:val="true"/>
        </w:trPr>
        <w:tc>
          <w:tcPr>
            <w:tcW w:type="dxa" w:w="1843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赛题能力</w:t>
            </w:r>
          </w:p>
        </w:tc>
        <w:tc>
          <w:tcPr>
            <w:tcW w:type="dxa" w:w="4054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FutureLedger 首版方案</w:t>
            </w:r>
          </w:p>
        </w:tc>
        <w:tc>
          <w:tcPr>
            <w:tcW w:type="dxa" w:w="3912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可核验结果</w:t>
            </w:r>
          </w:p>
        </w:tc>
      </w:tr>
      <w:tr>
        <w:trPr>
          <w:cantSplit/>
        </w:trPr>
        <w:tc>
          <w:tcPr>
            <w:tcW w:type="dxa" w:w="1843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银行业务场景</w:t>
            </w:r>
          </w:p>
        </w:tc>
        <w:tc>
          <w:tcPr>
            <w:tcW w:type="dxa" w:w="405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智能转账、账单分析、订阅与代扣管理；三者可独立运行</w:t>
            </w:r>
          </w:p>
        </w:tc>
        <w:tc>
          <w:tcPr>
            <w:tcW w:type="dxa" w:w="391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转账状态、统计金额、代扣授权状态来自模拟银行</w:t>
            </w:r>
          </w:p>
        </w:tc>
      </w:tr>
      <w:tr>
        <w:trPr>
          <w:cantSplit/>
        </w:trPr>
        <w:tc>
          <w:tcPr>
            <w:tcW w:type="dxa" w:w="1843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自然语言 + 任务规划</w:t>
            </w:r>
          </w:p>
        </w:tc>
        <w:tc>
          <w:tcPr>
            <w:tcW w:type="dxa" w:w="405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意图提取、缺参追问、结构化步骤、上下文修订</w:t>
            </w:r>
          </w:p>
        </w:tc>
        <w:tc>
          <w:tcPr>
            <w:tcW w:type="dxa" w:w="391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一句话任务被拆成可追踪的工具调用</w:t>
            </w:r>
          </w:p>
        </w:tc>
      </w:tr>
      <w:tr>
        <w:trPr>
          <w:cantSplit/>
        </w:trPr>
        <w:tc>
          <w:tcPr>
            <w:tcW w:type="dxa" w:w="1843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安全与权限</w:t>
            </w:r>
          </w:p>
        </w:tc>
        <w:tc>
          <w:tcPr>
            <w:tcW w:type="dxa" w:w="405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绿色查询 / 黄色确认 / 红色强验证；独立执行门</w:t>
            </w:r>
          </w:p>
        </w:tc>
        <w:tc>
          <w:tcPr>
            <w:tcW w:type="dxa" w:w="391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未获授权无法付款，越权请求被后端拒绝</w:t>
            </w:r>
          </w:p>
        </w:tc>
      </w:tr>
      <w:tr>
        <w:trPr>
          <w:cantSplit/>
        </w:trPr>
        <w:tc>
          <w:tcPr>
            <w:tcW w:type="dxa" w:w="1843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鲁棒性 + 体验</w:t>
            </w:r>
          </w:p>
        </w:tc>
        <w:tc>
          <w:tcPr>
            <w:tcW w:type="dxa" w:w="405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暂停和接管、执行核验、失败恢复、清晰交互</w:t>
            </w:r>
          </w:p>
        </w:tc>
        <w:tc>
          <w:tcPr>
            <w:tcW w:type="dxa" w:w="391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响应丢失不重复转账；错误可处理</w:t>
            </w:r>
          </w:p>
        </w:tc>
      </w:tr>
      <w:tr>
        <w:trPr>
          <w:cantSplit/>
        </w:trPr>
        <w:tc>
          <w:tcPr>
            <w:tcW w:type="dxa" w:w="1843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差异化创新</w:t>
            </w:r>
          </w:p>
        </w:tc>
        <w:tc>
          <w:tcPr>
            <w:tcW w:type="dxa" w:w="405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未来现金流比较 + 可编辑个人偏好 + 条件改变重规划</w:t>
            </w:r>
          </w:p>
        </w:tc>
        <w:tc>
          <w:tcPr>
            <w:tcW w:type="dxa" w:w="391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同一财务目标下展示不同方案及实际银行动作</w:t>
            </w:r>
          </w:p>
        </w:tc>
      </w:tr>
    </w:tbl>
    <w:p>
      <w:pPr>
        <w:spacing w:after="0"/>
      </w:pPr>
    </w:p>
    <w:p>
      <w:pPr>
        <w:pStyle w:val="Tiny"/>
        <w:spacing w:before="20"/>
      </w:pPr>
      <w:r>
        <w:t>国内赛道公开介绍覆盖智能转账、账单分析、理财操作、卡片管理、订阅/代扣管理、跨场景联动六类场景。首版选择前三项中的“转账、账单、订阅”，其余作为后续拓展；跨场景联动作为完整演示。原设计记录的 40% 任务完成、30% 安全、30% 创新交互权重，以正式赛题规则为准。</w:t>
      </w:r>
    </w:p>
    <w:p>
      <w:pPr>
        <w:pStyle w:val="Heading1"/>
      </w:pPr>
      <w:r>
        <w:t>03   Instinct 只作为交互灵感，不偏离银行主题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917"/>
      </w:tblGrid>
      <w:tr>
        <w:trPr>
          <w:cantSplit/>
          <w:tblHeader w:val="true"/>
        </w:trPr>
        <w:tc>
          <w:tcPr>
            <w:tcW w:type="dxa" w:w="2891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借鉴思路</w:t>
            </w:r>
          </w:p>
        </w:tc>
        <w:tc>
          <w:tcPr>
            <w:tcW w:type="dxa" w:w="6917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在银行 Agent 内的具体用途</w:t>
            </w:r>
          </w:p>
        </w:tc>
      </w:tr>
      <w:tr>
        <w:trPr>
          <w:cantSplit/>
        </w:trPr>
        <w:tc>
          <w:tcPr>
            <w:tcW w:type="dxa" w:w="289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理解目标，而非只听关键词</w:t>
            </w:r>
          </w:p>
        </w:tc>
        <w:tc>
          <w:tcPr>
            <w:tcW w:type="dxa" w:w="691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把“我要买电脑但不能耽误房租”转为金额、日期、余额底线和银行操作约束</w:t>
            </w:r>
          </w:p>
        </w:tc>
      </w:tr>
      <w:tr>
        <w:trPr>
          <w:cantSplit/>
        </w:trPr>
        <w:tc>
          <w:tcPr>
            <w:tcW w:type="dxa" w:w="2891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记住用户允许记住的偏好</w:t>
            </w:r>
          </w:p>
        </w:tc>
        <w:tc>
          <w:tcPr>
            <w:tcW w:type="dxa" w:w="691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保存可编辑的最低留存余额、重要代扣和提醒偏好；不保存密码/验证码</w:t>
            </w:r>
          </w:p>
        </w:tc>
      </w:tr>
      <w:tr>
        <w:trPr>
          <w:cantSplit/>
        </w:trPr>
        <w:tc>
          <w:tcPr>
            <w:tcW w:type="dxa" w:w="289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少追问、完成任务</w:t>
            </w:r>
          </w:p>
        </w:tc>
        <w:tc>
          <w:tcPr>
            <w:tcW w:type="dxa" w:w="691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只对缺失或歧义的收款人/日期追问；银行写操作必须另行明确授权</w:t>
            </w:r>
          </w:p>
        </w:tc>
      </w:tr>
      <w:tr>
        <w:trPr>
          <w:cantSplit/>
        </w:trPr>
        <w:tc>
          <w:tcPr>
            <w:tcW w:type="dxa" w:w="2891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简单问题走快路径</w:t>
            </w:r>
          </w:p>
        </w:tc>
        <w:tc>
          <w:tcPr>
            <w:tcW w:type="dxa" w:w="691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规则处理参数完整性与权限校验；LLM 负责复杂意图、解释和重新规划</w:t>
            </w:r>
          </w:p>
        </w:tc>
      </w:tr>
    </w:tbl>
    <w:p>
      <w:pPr>
        <w:spacing w:after="0"/>
      </w:pPr>
    </w:p>
    <w:p>
      <w:pPr/>
      <w:r>
        <w:t>不做：通用个人助理、多 Agent 协作、浏览器自动代购、短信/邮件代理、无人值守转账。核心竞争力始终是“把银行任务安全做完”。</w:t>
      </w:r>
    </w:p>
    <w:p>
      <w:r>
        <w:br w:type="page"/>
      </w:r>
    </w:p>
    <w:p>
      <w:pPr>
        <w:pStyle w:val="Heading1"/>
      </w:pPr>
      <w:r>
        <w:t>04   三个独立银行场景（必须能分别验收）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082"/>
        <w:gridCol w:w="3912"/>
      </w:tblGrid>
      <w:tr>
        <w:trPr>
          <w:cantSplit/>
          <w:tblHeader w:val="true"/>
        </w:trPr>
        <w:tc>
          <w:tcPr>
            <w:tcW w:type="dxa" w:w="1814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用户说法</w:t>
            </w:r>
          </w:p>
        </w:tc>
        <w:tc>
          <w:tcPr>
            <w:tcW w:type="dxa" w:w="4082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Agent 的任务链</w:t>
            </w:r>
          </w:p>
        </w:tc>
        <w:tc>
          <w:tcPr>
            <w:tcW w:type="dxa" w:w="3912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完成标准</w:t>
            </w:r>
          </w:p>
        </w:tc>
      </w:tr>
      <w:tr>
        <w:trPr>
          <w:cantSplit/>
        </w:trPr>
        <w:tc>
          <w:tcPr>
            <w:tcW w:type="dxa" w:w="181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“给妈妈转 500 元”</w:t>
            </w:r>
          </w:p>
        </w:tc>
        <w:tc>
          <w:tcPr>
            <w:tcW w:type="dxa" w:w="408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查验证收款人 → 消除同名歧义 → 询问缺失信息 → 确认 → 执行 → 查状态</w:t>
            </w:r>
          </w:p>
        </w:tc>
        <w:tc>
          <w:tcPr>
            <w:tcW w:type="dxa" w:w="391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账户余额、银行流水及转账状态一致；重复请求不重复付款</w:t>
            </w:r>
          </w:p>
        </w:tc>
      </w:tr>
      <w:tr>
        <w:trPr>
          <w:cantSplit/>
        </w:trPr>
        <w:tc>
          <w:tcPr>
            <w:tcW w:type="dxa" w:w="181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“上月餐饮花了多少”</w:t>
            </w:r>
          </w:p>
        </w:tc>
        <w:tc>
          <w:tcPr>
            <w:tcW w:type="dxa" w:w="408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查交易 → 去重/分类 → 用确定性代码汇总 → 展示原始交易凭据</w:t>
            </w:r>
          </w:p>
        </w:tc>
        <w:tc>
          <w:tcPr>
            <w:tcW w:type="dxa" w:w="391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金额可复算；分类不确定时标记待确认</w:t>
            </w:r>
          </w:p>
        </w:tc>
      </w:tr>
      <w:tr>
        <w:trPr>
          <w:cantSplit/>
        </w:trPr>
        <w:tc>
          <w:tcPr>
            <w:tcW w:type="dxa" w:w="181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“找出自动扣费，停掉视频代扣”</w:t>
            </w:r>
          </w:p>
        </w:tc>
        <w:tc>
          <w:tcPr>
            <w:tcW w:type="dxa" w:w="408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查代扣授权及周期交易 → 判断支持取消与否 → 确认 → 调用取消 → 复查</w:t>
            </w:r>
          </w:p>
        </w:tc>
        <w:tc>
          <w:tcPr>
            <w:tcW w:type="dxa" w:w="391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银行授权确实取消才显示成功；不等同商户订阅终止</w:t>
            </w:r>
          </w:p>
        </w:tc>
      </w:tr>
    </w:tbl>
    <w:p>
      <w:pPr>
        <w:spacing w:after="0"/>
      </w:pPr>
    </w:p>
    <w:p>
      <w:pPr>
        <w:pStyle w:val="Heading1"/>
      </w:pPr>
      <w:r>
        <w:t>05   未来账本：一个主用例串联三个银行场景</w:t>
      </w:r>
    </w:p>
    <w:p>
      <w:pPr/>
      <w:r>
        <w:t>用户：“下个月想买 6000 元电脑，房租不能耽误，日常至少留 3000 元，云盘代扣不能停；帮我看看怎么安排。”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337"/>
        <w:gridCol w:w="4195"/>
      </w:tblGrid>
      <w:tr>
        <w:trPr>
          <w:cantSplit/>
          <w:tblHeader w:val="true"/>
        </w:trPr>
        <w:tc>
          <w:tcPr>
            <w:tcW w:type="dxa" w:w="1276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节点</w:t>
            </w:r>
          </w:p>
        </w:tc>
        <w:tc>
          <w:tcPr>
            <w:tcW w:type="dxa" w:w="4337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Agent 行动</w:t>
            </w:r>
          </w:p>
        </w:tc>
        <w:tc>
          <w:tcPr>
            <w:tcW w:type="dxa" w:w="4195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前端展示</w:t>
            </w:r>
          </w:p>
        </w:tc>
      </w:tr>
      <w:tr>
        <w:trPr>
          <w:cantSplit/>
        </w:trPr>
        <w:tc>
          <w:tcPr>
            <w:tcW w:type="dxa" w:w="1276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A 查询与理解</w:t>
            </w:r>
          </w:p>
        </w:tc>
        <w:tc>
          <w:tcPr>
            <w:tcW w:type="dxa" w:w="433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分析账户流水、房租/订阅、已知授权；追问目标日期和工资假设</w:t>
            </w:r>
          </w:p>
        </w:tc>
        <w:tc>
          <w:tcPr>
            <w:tcW w:type="dxa" w:w="4195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目标与保护条件卡、数据来源和时间</w:t>
            </w:r>
          </w:p>
        </w:tc>
      </w:tr>
      <w:tr>
        <w:trPr>
          <w:cantSplit/>
        </w:trPr>
        <w:tc>
          <w:tcPr>
            <w:tcW w:type="dxa" w:w="1276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B 比较方案</w:t>
            </w:r>
          </w:p>
        </w:tc>
        <w:tc>
          <w:tcPr>
            <w:tcW w:type="dxa" w:w="433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按日计算现在支付 / 发薪后支付 / 延后支付；始终保留云盘代扣</w:t>
            </w:r>
          </w:p>
        </w:tc>
        <w:tc>
          <w:tcPr>
            <w:tcW w:type="dxa" w:w="4195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未来余额曲线、保护线、最低余额及冲突原因</w:t>
            </w:r>
          </w:p>
        </w:tc>
      </w:tr>
      <w:tr>
        <w:trPr>
          <w:cantSplit/>
        </w:trPr>
        <w:tc>
          <w:tcPr>
            <w:tcW w:type="dxa" w:w="1276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C 动态调整</w:t>
            </w:r>
          </w:p>
        </w:tc>
        <w:tc>
          <w:tcPr>
            <w:tcW w:type="dxa" w:w="433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用户说“工资晚 5 天” → 重新计算，旧确认不沿用</w:t>
            </w:r>
          </w:p>
        </w:tc>
        <w:tc>
          <w:tcPr>
            <w:tcW w:type="dxa" w:w="4195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版本差异、更新后的建议支付日</w:t>
            </w:r>
          </w:p>
        </w:tc>
      </w:tr>
      <w:tr>
        <w:trPr>
          <w:cantSplit/>
        </w:trPr>
        <w:tc>
          <w:tcPr>
            <w:tcW w:type="dxa" w:w="1276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D 实际操作</w:t>
            </w:r>
          </w:p>
        </w:tc>
        <w:tc>
          <w:tcPr>
            <w:tcW w:type="dxa" w:w="433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用户明确要求向已核实收款人预约转账，或独立选择取消视频代扣</w:t>
            </w:r>
          </w:p>
        </w:tc>
        <w:tc>
          <w:tcPr>
            <w:tcW w:type="dxa" w:w="4195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显示金额与账户详情 → 确认/强验证 → 状态核验</w:t>
            </w:r>
          </w:p>
        </w:tc>
      </w:tr>
    </w:tbl>
    <w:p>
      <w:pPr>
        <w:spacing w:after="0"/>
      </w:pPr>
    </w:p>
    <w:p>
      <w:pPr>
        <w:pStyle w:val="Tiny"/>
        <w:spacing w:before="20"/>
      </w:pPr>
      <w:r>
        <w:t>统一演示种子（全部为模拟）：初始余额 9000；第 5 天房租 −3500；第 12 天预计工资 +8000，延迟情景改到第 17 天；30 天生活支出预算 2400；第 8 天云盘 −30；第 10 天视频 −68；最低余额 3000。电脑费用仅为现金流假设，不声称 Agent 购买了电脑。</w:t>
      </w:r>
    </w:p>
    <w:p>
      <w:pPr>
        <w:pStyle w:val="Heading2"/>
      </w:pPr>
      <w:r>
        <w:t>个人偏好 ≠ 银行事实 ≠ 操作授权</w:t>
      </w:r>
    </w:p>
    <w:p>
      <w:pPr>
        <w:spacing w:after="60"/>
        <w:ind w:left="204" w:hanging="153"/>
      </w:pPr>
      <w:r>
        <w:t>•  个人偏好：用户选择“记住最低余额 3000 / 保护云盘代扣”，可查看、修改、删除；不得充当付款许可。</w:t>
      </w:r>
    </w:p>
    <w:p>
      <w:pPr>
        <w:spacing w:after="60"/>
        <w:ind w:left="204" w:hanging="153"/>
      </w:pPr>
      <w:r>
        <w:t>•  银行事实：余额、流水、收款人、授权与执行结果每次从具备权限的工具查询，不能用对话记忆替代。</w:t>
      </w:r>
    </w:p>
    <w:p>
      <w:pPr>
        <w:spacing w:after="60"/>
        <w:ind w:left="204" w:hanging="153"/>
      </w:pPr>
      <w:r>
        <w:t>•  敏感操作：只有用户明确选中具体操作，完成绑定参数的确认和必要强验证，后端才可以提交。</w:t>
      </w:r>
    </w:p>
    <w:p>
      <w:r>
        <w:br w:type="page"/>
      </w:r>
    </w:p>
    <w:p>
      <w:pPr>
        <w:pStyle w:val="Heading1"/>
      </w:pPr>
      <w:r>
        <w:t>06   技术架构：一个规划 Agent + 确定性银行执行</w:t>
      </w:r>
    </w:p>
    <w:p>
      <w:pPr>
        <w:pStyle w:val="Callout"/>
      </w:pPr>
      <w:r>
        <w:t>Web 银行首页 / 对话窗口 / 未来账本  →  Agent（意图与任务计划）</w:t>
        <w:br/>
        <w:t xml:space="preserve">      →  只读工具：账户 / 交易 / 代扣查询 + 现金流计算器</w:t>
        <w:br/>
        <w:t xml:space="preserve">      →  待执行操作卡（用户明确确认，红色操作强验证）</w:t>
        <w:br/>
        <w:t xml:space="preserve">      →  Execution Gate（账户归属、权限、参数摘要、额度、幂等、状态）</w:t>
        <w:br/>
        <w:t xml:space="preserve">      →  银行适配层 / Mock Bank（提交转账、取消代扣、查状态）</w:t>
        <w:br/>
        <w:t xml:space="preserve">      →  任务中心、审计事件、失败恢复与人工接管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00"/>
      </w:tblGrid>
      <w:tr>
        <w:trPr>
          <w:cantSplit/>
          <w:tblHeader w:val="true"/>
        </w:trPr>
        <w:tc>
          <w:tcPr>
            <w:tcW w:type="dxa" w:w="2608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组件</w:t>
            </w:r>
          </w:p>
        </w:tc>
        <w:tc>
          <w:tcPr>
            <w:tcW w:type="dxa" w:w="7200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最小职责</w:t>
            </w:r>
          </w:p>
        </w:tc>
      </w:tr>
      <w:tr>
        <w:trPr>
          <w:cantSplit/>
        </w:trPr>
        <w:tc>
          <w:tcPr>
            <w:tcW w:type="dxa" w:w="260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Next.js / TS 前端</w:t>
            </w:r>
          </w:p>
        </w:tc>
        <w:tc>
          <w:tcPr>
            <w:tcW w:type="dxa" w:w="7200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银行沙箱、三个场景入口、聊天、曲线、权限卡、执行状态；移动端适配</w:t>
            </w:r>
          </w:p>
        </w:tc>
      </w:tr>
      <w:tr>
        <w:trPr>
          <w:cantSplit/>
        </w:trPr>
        <w:tc>
          <w:tcPr>
            <w:tcW w:type="dxa" w:w="260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FastAPI + LLM</w:t>
            </w:r>
          </w:p>
        </w:tc>
        <w:tc>
          <w:tcPr>
            <w:tcW w:type="dxa" w:w="7200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意图 Schema、简化 DAG、缺参追问、解释；模型不具备直接写账本权限</w:t>
            </w:r>
          </w:p>
        </w:tc>
      </w:tr>
      <w:tr>
        <w:trPr>
          <w:cantSplit/>
        </w:trPr>
        <w:tc>
          <w:tcPr>
            <w:tcW w:type="dxa" w:w="260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确定性服务</w:t>
            </w:r>
          </w:p>
        </w:tc>
        <w:tc>
          <w:tcPr>
            <w:tcW w:type="dxa" w:w="7200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金额整数分、逐日现金流、账单汇总、三级权限判断、输入/输出校验</w:t>
            </w:r>
          </w:p>
        </w:tc>
      </w:tr>
      <w:tr>
        <w:trPr>
          <w:cantSplit/>
        </w:trPr>
        <w:tc>
          <w:tcPr>
            <w:tcW w:type="dxa" w:w="260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PostgreSQL + Worker</w:t>
            </w:r>
          </w:p>
        </w:tc>
        <w:tc>
          <w:tcPr>
            <w:tcW w:type="dxa" w:w="7200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账户及模拟银行独立事实存储；计划/授权/日志、预约任务、超时查证及重启恢复</w:t>
            </w:r>
          </w:p>
        </w:tc>
      </w:tr>
      <w:tr>
        <w:trPr>
          <w:cantSplit/>
        </w:trPr>
        <w:tc>
          <w:tcPr>
            <w:tcW w:type="dxa" w:w="260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受限分析沙箱</w:t>
            </w:r>
          </w:p>
        </w:tc>
        <w:tc>
          <w:tcPr>
            <w:tcW w:type="dxa" w:w="7200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只在脱敏账单快照内跑统计分析；容器无银行密钥及网络访问，限制时间和资源</w:t>
            </w:r>
          </w:p>
        </w:tc>
      </w:tr>
    </w:tbl>
    <w:p>
      <w:pPr>
        <w:spacing w:after="0"/>
      </w:pPr>
    </w:p>
    <w:p>
      <w:pPr>
        <w:pStyle w:val="Heading1"/>
      </w:pPr>
      <w:r>
        <w:t>07   三级权限与不可绕过的安全边界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288"/>
        <w:gridCol w:w="4649"/>
      </w:tblGrid>
      <w:tr>
        <w:trPr>
          <w:cantSplit/>
          <w:tblHeader w:val="true"/>
        </w:trPr>
        <w:tc>
          <w:tcPr>
            <w:tcW w:type="dxa" w:w="1871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等级</w:t>
            </w:r>
          </w:p>
        </w:tc>
        <w:tc>
          <w:tcPr>
            <w:tcW w:type="dxa" w:w="3288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示例</w:t>
            </w:r>
          </w:p>
        </w:tc>
        <w:tc>
          <w:tcPr>
            <w:tcW w:type="dxa" w:w="4649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执行前置条件</w:t>
            </w:r>
          </w:p>
        </w:tc>
      </w:tr>
      <w:tr>
        <w:trPr>
          <w:cantSplit/>
        </w:trPr>
        <w:tc>
          <w:tcPr>
            <w:tcW w:type="dxa" w:w="187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绿色｜只读</w:t>
            </w:r>
          </w:p>
        </w:tc>
        <w:tc>
          <w:tcPr>
            <w:tcW w:type="dxa" w:w="328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余额、流水、账单统计</w:t>
            </w:r>
          </w:p>
        </w:tc>
        <w:tc>
          <w:tcPr>
            <w:tcW w:type="dxa" w:w="4649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账号归属/会话校验；不产生写操作</w:t>
            </w:r>
          </w:p>
        </w:tc>
      </w:tr>
      <w:tr>
        <w:trPr>
          <w:cantSplit/>
        </w:trPr>
        <w:tc>
          <w:tcPr>
            <w:tcW w:type="dxa" w:w="1871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黄色｜需确认</w:t>
            </w:r>
          </w:p>
        </w:tc>
        <w:tc>
          <w:tcPr>
            <w:tcW w:type="dxa" w:w="328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低金额转账、受支持的取消代扣</w:t>
            </w:r>
          </w:p>
        </w:tc>
        <w:tc>
          <w:tcPr>
            <w:tcW w:type="dxa" w:w="4649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展示金额、收款人及影响；用户明确点击确认</w:t>
            </w:r>
          </w:p>
        </w:tc>
      </w:tr>
      <w:tr>
        <w:trPr>
          <w:cantSplit/>
        </w:trPr>
        <w:tc>
          <w:tcPr>
            <w:tcW w:type="dxa" w:w="187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红色｜强验证</w:t>
            </w:r>
          </w:p>
        </w:tc>
        <w:tc>
          <w:tcPr>
            <w:tcW w:type="dxa" w:w="328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超过累计阈值的转账或其他高风险变更</w:t>
            </w:r>
          </w:p>
        </w:tc>
        <w:tc>
          <w:tcPr>
            <w:tcW w:type="dxa" w:w="4649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确认 + 与具体操作绑定的独立强验证</w:t>
            </w:r>
          </w:p>
        </w:tc>
      </w:tr>
    </w:tbl>
    <w:p>
      <w:pPr>
        <w:spacing w:after="0"/>
      </w:pPr>
    </w:p>
    <w:p>
      <w:pPr>
        <w:pStyle w:val="Tiny"/>
        <w:spacing w:before="20"/>
      </w:pPr>
      <w:r>
        <w:t>原方案示例：日累计转账金额超过 1000 元进入红色；实际阈值、订阅查询等级和认证方式由赛题/银行规则确定，统一由后端配置。</w:t>
      </w:r>
    </w:p>
    <w:p>
      <w:pPr>
        <w:pStyle w:val="Heading2"/>
      </w:pPr>
      <w:r>
        <w:t>五条绝不能删的防线</w:t>
      </w:r>
    </w:p>
    <w:p>
      <w:pPr>
        <w:spacing w:after="60"/>
        <w:ind w:left="204" w:hanging="153"/>
      </w:pPr>
      <w:r>
        <w:t>•  工具白名单 + 服务端账户隔离：聊天输入、商户名称、交易备注无法提升权限或伪造收款人。</w:t>
      </w:r>
    </w:p>
    <w:p>
      <w:pPr>
        <w:spacing w:after="60"/>
        <w:ind w:left="204" w:hanging="153"/>
      </w:pPr>
      <w:r>
        <w:t>•  授权绑定操作参数及计划版本：修改金额、收款人、执行日后旧授权失效。</w:t>
      </w:r>
    </w:p>
    <w:p>
      <w:pPr>
        <w:spacing w:after="60"/>
        <w:ind w:left="204" w:hanging="153"/>
      </w:pPr>
      <w:r>
        <w:t>•  执行门对并发累计额度做原子检查，避免把两笔小额转账拆开绕过强验证。</w:t>
      </w:r>
    </w:p>
    <w:p>
      <w:pPr>
        <w:spacing w:after="60"/>
        <w:ind w:left="204" w:hanging="153"/>
      </w:pPr>
      <w:r>
        <w:t>•  幂等 + 不确定状态核验：银行提交后响应丢失，标记“待查证”并查询，不盲目重试。</w:t>
      </w:r>
    </w:p>
    <w:p>
      <w:pPr>
        <w:spacing w:after="60"/>
        <w:ind w:left="204" w:hanging="153"/>
      </w:pPr>
      <w:r>
        <w:t>•  中断与接管：未提交操作可取消；已提交转账不承诺撤销；失败须展示已完成与剩余步骤。</w:t>
      </w:r>
    </w:p>
    <w:p>
      <w:r>
        <w:br w:type="page"/>
      </w:r>
    </w:p>
    <w:p>
      <w:pPr>
        <w:pStyle w:val="Heading1"/>
      </w:pPr>
      <w:r>
        <w:t>08   开发优先级：先把银行闭环做出来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337"/>
        <w:gridCol w:w="4054"/>
      </w:tblGrid>
      <w:tr>
        <w:trPr>
          <w:cantSplit/>
          <w:tblHeader w:val="true"/>
        </w:trPr>
        <w:tc>
          <w:tcPr>
            <w:tcW w:type="dxa" w:w="1417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阶段</w:t>
            </w:r>
          </w:p>
        </w:tc>
        <w:tc>
          <w:tcPr>
            <w:tcW w:type="dxa" w:w="4337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实施范围</w:t>
            </w:r>
          </w:p>
        </w:tc>
        <w:tc>
          <w:tcPr>
            <w:tcW w:type="dxa" w:w="4054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验收门槛</w:t>
            </w:r>
          </w:p>
        </w:tc>
      </w:tr>
      <w:tr>
        <w:trPr>
          <w:cantSplit/>
        </w:trPr>
        <w:tc>
          <w:tcPr>
            <w:tcW w:type="dxa" w:w="141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P0 银行沙箱</w:t>
            </w:r>
          </w:p>
        </w:tc>
        <w:tc>
          <w:tcPr>
            <w:tcW w:type="dxa" w:w="433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模拟账户/流水/收款人/代扣授权、API、独立账本</w:t>
            </w:r>
          </w:p>
        </w:tc>
        <w:tc>
          <w:tcPr>
            <w:tcW w:type="dxa" w:w="405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不用 LLM 能完成一次真实落账的模拟转账</w:t>
            </w:r>
          </w:p>
        </w:tc>
      </w:tr>
      <w:tr>
        <w:trPr>
          <w:cantSplit/>
        </w:trPr>
        <w:tc>
          <w:tcPr>
            <w:tcW w:type="dxa" w:w="141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P0 执行安全</w:t>
            </w:r>
          </w:p>
        </w:tc>
        <w:tc>
          <w:tcPr>
            <w:tcW w:type="dxa" w:w="433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三级权限、确认/强验证、执行门、幂等、未知状态恢复</w:t>
            </w:r>
          </w:p>
        </w:tc>
        <w:tc>
          <w:tcPr>
            <w:tcW w:type="dxa" w:w="405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越权被拦；并发限额正确；重复点击只有一笔转账</w:t>
            </w:r>
          </w:p>
        </w:tc>
      </w:tr>
      <w:tr>
        <w:trPr>
          <w:cantSplit/>
        </w:trPr>
        <w:tc>
          <w:tcPr>
            <w:tcW w:type="dxa" w:w="141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P1 三个场景</w:t>
            </w:r>
          </w:p>
        </w:tc>
        <w:tc>
          <w:tcPr>
            <w:tcW w:type="dxa" w:w="433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自然语言意图、工具调用、必要追问、计划版本</w:t>
            </w:r>
          </w:p>
        </w:tc>
        <w:tc>
          <w:tcPr>
            <w:tcW w:type="dxa" w:w="405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三个场景均有独立成功与失败路径</w:t>
            </w:r>
          </w:p>
        </w:tc>
      </w:tr>
      <w:tr>
        <w:trPr>
          <w:cantSplit/>
        </w:trPr>
        <w:tc>
          <w:tcPr>
            <w:tcW w:type="dxa" w:w="141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P1 未来账本</w:t>
            </w:r>
          </w:p>
        </w:tc>
        <w:tc>
          <w:tcPr>
            <w:tcW w:type="dxa" w:w="433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现金流计算、约束、方案比较、条件修改与重新规划</w:t>
            </w:r>
          </w:p>
        </w:tc>
        <w:tc>
          <w:tcPr>
            <w:tcW w:type="dxa" w:w="405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金额可复算；计划更改不沿用旧授权</w:t>
            </w:r>
          </w:p>
        </w:tc>
      </w:tr>
      <w:tr>
        <w:trPr>
          <w:cantSplit/>
        </w:trPr>
        <w:tc>
          <w:tcPr>
            <w:tcW w:type="dxa" w:w="141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P1 交付安全</w:t>
            </w:r>
          </w:p>
        </w:tc>
        <w:tc>
          <w:tcPr>
            <w:tcW w:type="dxa" w:w="433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受限账单代码沙箱、攻击测试、审计、启动部署</w:t>
            </w:r>
          </w:p>
        </w:tc>
        <w:tc>
          <w:tcPr>
            <w:tcW w:type="dxa" w:w="405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注入与资源逃逸防护可复现；README 可重建环境</w:t>
            </w:r>
          </w:p>
        </w:tc>
      </w:tr>
      <w:tr>
        <w:trPr>
          <w:cantSplit/>
        </w:trPr>
        <w:tc>
          <w:tcPr>
            <w:tcW w:type="dxa" w:w="141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P2 交互体验</w:t>
            </w:r>
          </w:p>
        </w:tc>
        <w:tc>
          <w:tcPr>
            <w:tcW w:type="dxa" w:w="433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简洁银行首页、助手、任务卡、必要的偏好记忆</w:t>
            </w:r>
          </w:p>
        </w:tc>
        <w:tc>
          <w:tcPr>
            <w:tcW w:type="dxa" w:w="405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五分钟演示完整，无“假成功”界面</w:t>
            </w:r>
          </w:p>
        </w:tc>
      </w:tr>
    </w:tbl>
    <w:p>
      <w:pPr>
        <w:spacing w:after="0"/>
      </w:pPr>
    </w:p>
    <w:p>
      <w:pPr>
        <w:pStyle w:val="Heading1"/>
      </w:pPr>
      <w:r>
        <w:t>09   关键测试与评审证明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cantSplit/>
          <w:tblHeader w:val="true"/>
        </w:trPr>
        <w:tc>
          <w:tcPr>
            <w:tcW w:type="dxa" w:w="2268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测试维度</w:t>
            </w:r>
          </w:p>
        </w:tc>
        <w:tc>
          <w:tcPr>
            <w:tcW w:type="dxa" w:w="7540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至少展示的证据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业务任务完成</w:t>
            </w:r>
          </w:p>
        </w:tc>
        <w:tc>
          <w:tcPr>
            <w:tcW w:type="dxa" w:w="7540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500 元转账结果；月度账单与交易 ID 对齐；取消代扣后授权状态已变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任务规划</w:t>
            </w:r>
          </w:p>
        </w:tc>
        <w:tc>
          <w:tcPr>
            <w:tcW w:type="dxa" w:w="7540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同名收款人追问；“别动云盘”硬约束；工资延迟后重规划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安全与权限</w:t>
            </w:r>
          </w:p>
        </w:tc>
        <w:tc>
          <w:tcPr>
            <w:tcW w:type="dxa" w:w="7540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越权账户/恶意交易备注/伪装管理员被拒；两笔并发累计触发验证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故障恢复</w:t>
            </w:r>
          </w:p>
        </w:tc>
        <w:tc>
          <w:tcPr>
            <w:tcW w:type="dxa" w:w="7540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成功扣款却丢失响应、重复点击、worker 重启后的正确查证</w:t>
            </w:r>
          </w:p>
        </w:tc>
      </w:tr>
    </w:tbl>
    <w:p>
      <w:pPr>
        <w:spacing w:after="0"/>
      </w:pPr>
    </w:p>
    <w:p>
      <w:pPr>
        <w:pStyle w:val="Tiny"/>
        <w:spacing w:before="20"/>
      </w:pPr>
      <w:r>
        <w:t>建议建立可重置、可重复的测试集，记录工具轨迹和最终银行状态。原方案建议累计 100 条固定测试；不能以“聊天回复成功”代替银行事实。</w:t>
      </w:r>
    </w:p>
    <w:p>
      <w:pPr>
        <w:pStyle w:val="Heading1"/>
      </w:pPr>
      <w:r>
        <w:t>10   五分钟演示：把 Agent、业务与安全同时讲透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cantSplit/>
          <w:tblHeader w:val="true"/>
        </w:trPr>
        <w:tc>
          <w:tcPr>
            <w:tcW w:type="dxa" w:w="1701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时间</w:t>
            </w:r>
          </w:p>
        </w:tc>
        <w:tc>
          <w:tcPr>
            <w:tcW w:type="dxa" w:w="8107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/>
                <w:color w:val="10364F"/>
              </w:rPr>
              <w:t>展示内容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0:00—1:00</w:t>
            </w:r>
          </w:p>
        </w:tc>
        <w:tc>
          <w:tcPr>
            <w:tcW w:type="dxa" w:w="810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自然语言目标 → 查余额/账单/订阅，展示银行真实数据与已保护的云盘授权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1:00—2:00</w:t>
            </w:r>
          </w:p>
        </w:tc>
        <w:tc>
          <w:tcPr>
            <w:tcW w:type="dxa" w:w="810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未来现金流方案比较，工资延迟 5 天重算并突出变化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2:00—3:20</w:t>
            </w:r>
          </w:p>
        </w:tc>
        <w:tc>
          <w:tcPr>
            <w:tcW w:type="dxa" w:w="810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用户指定已核实收款人，独立确认预约转账；展示红色强验证与代扣管理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3:20—5:00</w:t>
            </w:r>
          </w:p>
        </w:tc>
        <w:tc>
          <w:tcPr>
            <w:tcW w:type="dxa" w:w="810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4" w:before="64"/>
            </w:pPr>
            <w:r>
              <w:rPr>
                <w:b w:val="0"/>
              </w:rPr>
              <w:t>模拟响应丢失 → 查询确认仅一笔转账；审计轨迹、注入拦截及恢复入口</w:t>
            </w:r>
          </w:p>
        </w:tc>
      </w:tr>
    </w:tbl>
    <w:p>
      <w:pPr>
        <w:spacing w:after="0"/>
      </w:pPr>
    </w:p>
    <w:p>
      <w:pPr>
        <w:pStyle w:val="Heading2"/>
      </w:pPr>
      <w:r>
        <w:t>国内赛道实施前需确认（不影响当前产品定位）</w:t>
      </w:r>
    </w:p>
    <w:p>
      <w:pPr/>
      <w:r>
        <w:t>① 官方银行 API 或 Mock Bank 是否认可；② 移动 Web 是否满足 APP/IM 渠道要求；③ 三级权限、验证方式及受限代码沙箱的具体验收口径；④ 当届国内赛道提交时间、材料格式与团队资格。</w:t>
      </w:r>
    </w:p>
    <w:p>
      <w:pPr>
        <w:pStyle w:val="Tiny"/>
        <w:spacing w:before="20"/>
      </w:pPr>
      <w:r>
        <w:t>依据：原项目文档《未来账本 银行 AI 智能体设计方案》v1.0（2026-10-13）；2026 FinTechathon 官网 https://fintechathon.g-ican.com/（国内赛道公开介绍）；Instinct 官网 https://instinct.com/（仅参考交互原则）。所有示例余额、交易和验证均为沙箱模拟，不构成实际银行服务。</w:t>
      </w:r>
    </w:p>
    <w:p>
      <w:pPr>
        <w:pStyle w:val="Heading1"/>
        <w:pageBreakBefore/>
      </w:pPr>
      <w:r>
        <w:t>11   软件架构：规划与执行分离的银行 Agent</w:t>
      </w:r>
    </w:p>
    <w:p>
      <w:pPr/>
      <w:r>
        <w:t>延续原 19 页方案第 5、7—11 节：首版采用“单规划 Agent + 确定性服务 + 独立执行门 + Mock Bank”，不引入多 Agent 编排。LLM 负责理解与提出计划，银行服务负责真实状态；任何写操作都不能绕过服务端授权。</w:t>
      </w:r>
    </w:p>
    <w:p>
      <w:pPr>
        <w:pStyle w:val="Heading2"/>
      </w:pPr>
      <w:r>
        <w:t>分层架构与信任边界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146"/>
        <w:gridCol w:w="5357"/>
      </w:tblGrid>
      <w:tr>
        <w:trPr>
          <w:cantSplit/>
          <w:tblHeader w:val="true"/>
        </w:trPr>
        <w:tc>
          <w:tcPr>
            <w:tcW w:type="dxa" w:w="1304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层级</w:t>
            </w:r>
          </w:p>
        </w:tc>
        <w:tc>
          <w:tcPr>
            <w:tcW w:type="dxa" w:w="3146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核心模块</w:t>
            </w:r>
          </w:p>
        </w:tc>
        <w:tc>
          <w:tcPr>
            <w:tcW w:type="dxa" w:w="5357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职责与不可越过的边界</w:t>
            </w:r>
          </w:p>
        </w:tc>
      </w:tr>
      <w:tr>
        <w:trPr>
          <w:cantSplit/>
        </w:trPr>
        <w:tc>
          <w:tcPr>
            <w:tcW w:type="dxa" w:w="130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① 交互层</w:t>
            </w:r>
          </w:p>
        </w:tc>
        <w:tc>
          <w:tcPr>
            <w:tcW w:type="dxa" w:w="3146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Next.js 银行首页、聊天侧栏、未来账本、任务中心</w:t>
            </w:r>
          </w:p>
        </w:tc>
        <w:tc>
          <w:tcPr>
            <w:tcW w:type="dxa" w:w="535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显示账户事实、计划/方案、确认卡片与结果；浏览器不授予权限。</w:t>
            </w:r>
          </w:p>
        </w:tc>
      </w:tr>
      <w:tr>
        <w:trPr>
          <w:cantSplit/>
        </w:trPr>
        <w:tc>
          <w:tcPr>
            <w:tcW w:type="dxa" w:w="130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② 规划层</w:t>
            </w:r>
          </w:p>
        </w:tc>
        <w:tc>
          <w:tcPr>
            <w:tcW w:type="dxa" w:w="3146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FastAPI 对话 API + 单 Agent / DAG</w:t>
            </w:r>
          </w:p>
        </w:tc>
        <w:tc>
          <w:tcPr>
            <w:tcW w:type="dxa" w:w="535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提取 intent、entities、constraints、missing_fields；生成有依赖的待校验计划，不直接提交交易。</w:t>
            </w:r>
          </w:p>
        </w:tc>
      </w:tr>
      <w:tr>
        <w:trPr>
          <w:cantSplit/>
        </w:trPr>
        <w:tc>
          <w:tcPr>
            <w:tcW w:type="dxa" w:w="130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③ 规则计算层</w:t>
            </w:r>
          </w:p>
        </w:tc>
        <w:tc>
          <w:tcPr>
            <w:tcW w:type="dxa" w:w="3146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账单统计、现金流计算器、Policy Service</w:t>
            </w:r>
          </w:p>
        </w:tc>
        <w:tc>
          <w:tcPr>
            <w:tcW w:type="dxa" w:w="535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整数分计算、候选方案搜索、权限级别和账户约束；可复算、不由 LLM 决定。</w:t>
            </w:r>
          </w:p>
        </w:tc>
      </w:tr>
      <w:tr>
        <w:trPr>
          <w:cantSplit/>
        </w:trPr>
        <w:tc>
          <w:tcPr>
            <w:tcW w:type="dxa" w:w="1304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④ 安全执行层</w:t>
            </w:r>
          </w:p>
        </w:tc>
        <w:tc>
          <w:tcPr>
            <w:tcW w:type="dxa" w:w="3146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Authorizations、Worker、Execution Gate</w:t>
            </w:r>
          </w:p>
        </w:tc>
        <w:tc>
          <w:tcPr>
            <w:tcW w:type="dxa" w:w="535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用户逐笔确认/强验证，校验操作版本、额度、幂等和状态；仅通过银行适配层发起写操作。</w:t>
            </w:r>
          </w:p>
        </w:tc>
      </w:tr>
      <w:tr>
        <w:trPr>
          <w:cantSplit/>
        </w:trPr>
        <w:tc>
          <w:tcPr>
            <w:tcW w:type="dxa" w:w="1304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⑤ 银行事实层</w:t>
            </w:r>
          </w:p>
        </w:tc>
        <w:tc>
          <w:tcPr>
            <w:tcW w:type="dxa" w:w="3146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Bank Adapter → Mock Bank / 官方 API</w:t>
            </w:r>
          </w:p>
        </w:tc>
        <w:tc>
          <w:tcPr>
            <w:tcW w:type="dxa" w:w="535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读余额、流水、代扣与收款人；独立保存账本及操作结果，提供状态查询。</w:t>
            </w:r>
          </w:p>
        </w:tc>
      </w:tr>
    </w:tbl>
    <w:p>
      <w:pPr>
        <w:spacing w:after="0"/>
      </w:pPr>
    </w:p>
    <w:p>
      <w:pPr>
        <w:pStyle w:val="Heading2"/>
      </w:pPr>
      <w:r>
        <w:t>一条请求如何走到银行操作</w:t>
      </w:r>
    </w:p>
    <w:p>
      <w:pPr>
        <w:pStyle w:val="Callout"/>
      </w:pPr>
      <w:r>
        <w:t>自然语言请求 → 规划 Agent 生成结构化 DAG → 只读工具查询 / 现金流引擎计算 → 用户查看并选择方案 → 生成具体操作卡 → 后端确认与必要强验证 → Worker 经 Execution Gate 提交 → Bank Adapter 查询最终状态 → SSE 回传界面并记录审计。</w:t>
      </w:r>
    </w:p>
    <w:p>
      <w:pPr>
        <w:pStyle w:val="Heading2"/>
      </w:pPr>
      <w:r>
        <w:t>必须持久化的流程状态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860"/>
      </w:tblGrid>
      <w:tr>
        <w:trPr>
          <w:cantSplit/>
          <w:tblHeader w:val="true"/>
        </w:trPr>
        <w:tc>
          <w:tcPr>
            <w:tcW w:type="dxa" w:w="2948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操作阶段</w:t>
            </w:r>
          </w:p>
        </w:tc>
        <w:tc>
          <w:tcPr>
            <w:tcW w:type="dxa" w:w="6860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执行约束及失败策略</w:t>
            </w:r>
          </w:p>
        </w:tc>
      </w:tr>
      <w:tr>
        <w:trPr>
          <w:cantSplit/>
        </w:trPr>
        <w:tc>
          <w:tcPr>
            <w:tcW w:type="dxa" w:w="294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DRAFT → NEEDS_INFO</w:t>
            </w:r>
          </w:p>
        </w:tc>
        <w:tc>
          <w:tcPr>
            <w:tcW w:type="dxa" w:w="6860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只追问缺失字段；修改目标/金额生成新 plan_version，不沿用旧确认。</w:t>
            </w:r>
          </w:p>
        </w:tc>
      </w:tr>
      <w:tr>
        <w:trPr>
          <w:cantSplit/>
        </w:trPr>
        <w:tc>
          <w:tcPr>
            <w:tcW w:type="dxa" w:w="294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NEEDS_CONFIRM / NEEDS_AUTH → READY</w:t>
            </w:r>
          </w:p>
        </w:tc>
        <w:tc>
          <w:tcPr>
            <w:tcW w:type="dxa" w:w="6860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授权绑定账户、收款人、金额、日期及版本摘要；红色需独立强验证。</w:t>
            </w:r>
          </w:p>
        </w:tc>
      </w:tr>
      <w:tr>
        <w:trPr>
          <w:cantSplit/>
        </w:trPr>
        <w:tc>
          <w:tcPr>
            <w:tcW w:type="dxa" w:w="294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SUBMITTING → SUCCEEDED / FAILED / PENDING_UNKNOWN</w:t>
            </w:r>
          </w:p>
        </w:tc>
        <w:tc>
          <w:tcPr>
            <w:tcW w:type="dxa" w:w="6860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保存 idempotency_key；银行回包丢失先查状态，不盲目重复付款。</w:t>
            </w:r>
          </w:p>
        </w:tc>
      </w:tr>
      <w:tr>
        <w:trPr>
          <w:cantSplit/>
        </w:trPr>
        <w:tc>
          <w:tcPr>
            <w:tcW w:type="dxa" w:w="294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SCHEDULED / CANCELLED / LOCKED</w:t>
            </w:r>
          </w:p>
        </w:tc>
        <w:tc>
          <w:tcPr>
            <w:tcW w:type="dxa" w:w="6860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独立 Worker 处理预约；未提交可取消，提交中的状态待查证。</w:t>
            </w:r>
          </w:p>
        </w:tc>
      </w:tr>
    </w:tbl>
    <w:p>
      <w:pPr>
        <w:spacing w:after="0"/>
      </w:pPr>
    </w:p>
    <w:p>
      <w:pPr>
        <w:pStyle w:val="Tiny"/>
        <w:spacing w:before="20"/>
      </w:pPr>
      <w:r>
        <w:t>关键工程约束：Mock Bank 和 Agent 任务库为不同逻辑事实源；到账、授权状态及账单金额不得从模型回复反推。金额统一整数分；业务操作、授权、状态变更写入 PostgreSQL 并留下审计事件。</w:t>
      </w:r>
    </w:p>
    <w:p>
      <w:pPr>
        <w:pStyle w:val="Heading1"/>
        <w:pageBreakBefore/>
      </w:pPr>
      <w:r>
        <w:t>12   技术选型：最小可交付、可核验、可扩展</w:t>
      </w:r>
    </w:p>
    <w:p>
      <w:pPr/>
      <w:r>
        <w:t>遵循原方案第 7、9、11、12、14 节，优先选择团队易上手、能单机复现的技术。原则是：功能围绕国内赛道三场景落地，金融判断由确定性程序完成，涉及资金的写操作全程受控。</w:t>
      </w:r>
    </w:p>
    <w:p>
      <w:pPr>
        <w:pStyle w:val="Heading2"/>
      </w:pPr>
      <w:r>
        <w:t>推荐技术栈及选型理由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5272"/>
      </w:tblGrid>
      <w:tr>
        <w:trPr>
          <w:cantSplit/>
          <w:tblHeader w:val="true"/>
        </w:trPr>
        <w:tc>
          <w:tcPr>
            <w:tcW w:type="dxa" w:w="1587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模块</w:t>
            </w:r>
          </w:p>
        </w:tc>
        <w:tc>
          <w:tcPr>
            <w:tcW w:type="dxa" w:w="2948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技术选择</w:t>
            </w:r>
          </w:p>
        </w:tc>
        <w:tc>
          <w:tcPr>
            <w:tcW w:type="dxa" w:w="5272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选型理由 / 交付边界</w:t>
            </w:r>
          </w:p>
        </w:tc>
      </w:tr>
      <w:tr>
        <w:trPr>
          <w:cantSplit/>
        </w:trPr>
        <w:tc>
          <w:tcPr>
            <w:tcW w:type="dxa" w:w="158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前端与可视化</w:t>
            </w:r>
          </w:p>
        </w:tc>
        <w:tc>
          <w:tcPr>
            <w:tcW w:type="dxa" w:w="294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Next.js + React + TypeScript</w:t>
            </w:r>
          </w:p>
        </w:tc>
        <w:tc>
          <w:tcPr>
            <w:tcW w:type="dxa" w:w="527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一个 Web 实现银行主界面、AI 对话、任务确认及手机适配；无须原生 APP 首版并行开发。</w:t>
            </w:r>
          </w:p>
        </w:tc>
      </w:tr>
      <w:tr>
        <w:trPr>
          <w:cantSplit/>
        </w:trPr>
        <w:tc>
          <w:tcPr>
            <w:tcW w:type="dxa" w:w="158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Agent / API</w:t>
            </w:r>
          </w:p>
        </w:tc>
        <w:tc>
          <w:tcPr>
            <w:tcW w:type="dxa" w:w="294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Python + FastAPI + Pydantic</w:t>
            </w:r>
          </w:p>
        </w:tc>
        <w:tc>
          <w:tcPr>
            <w:tcW w:type="dxa" w:w="527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处理自然语言与结构化 Schema、DAG、工具白名单；模型服务可替换，模型不接触银行凭据。</w:t>
            </w:r>
          </w:p>
        </w:tc>
      </w:tr>
      <w:tr>
        <w:trPr>
          <w:cantSplit/>
        </w:trPr>
        <w:tc>
          <w:tcPr>
            <w:tcW w:type="dxa" w:w="158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计算与权限</w:t>
            </w:r>
          </w:p>
        </w:tc>
        <w:tc>
          <w:tcPr>
            <w:tcW w:type="dxa" w:w="294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Python 确定性计算 + Policy Service</w:t>
            </w:r>
          </w:p>
        </w:tc>
        <w:tc>
          <w:tcPr>
            <w:tcW w:type="dxa" w:w="527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按日现金流、账单合计、累计金额、三级权限独立于 LLM；便于单元测试与复算。</w:t>
            </w:r>
          </w:p>
        </w:tc>
      </w:tr>
      <w:tr>
        <w:trPr>
          <w:cantSplit/>
        </w:trPr>
        <w:tc>
          <w:tcPr>
            <w:tcW w:type="dxa" w:w="158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数据与状态</w:t>
            </w:r>
          </w:p>
        </w:tc>
        <w:tc>
          <w:tcPr>
            <w:tcW w:type="dxa" w:w="294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PostgreSQL</w:t>
            </w:r>
          </w:p>
        </w:tc>
        <w:tc>
          <w:tcPr>
            <w:tcW w:type="dxa" w:w="527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模拟银行账本、Agent 计划/授权/操作、额度预占及审计分离存储；支持事务和并发锁。</w:t>
            </w:r>
          </w:p>
        </w:tc>
      </w:tr>
      <w:tr>
        <w:trPr>
          <w:cantSplit/>
        </w:trPr>
        <w:tc>
          <w:tcPr>
            <w:tcW w:type="dxa" w:w="158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后台任务</w:t>
            </w:r>
          </w:p>
        </w:tc>
        <w:tc>
          <w:tcPr>
            <w:tcW w:type="dxa" w:w="294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独立 Worker + PostgreSQL Outbox</w:t>
            </w:r>
          </w:p>
        </w:tc>
        <w:tc>
          <w:tcPr>
            <w:tcW w:type="dxa" w:w="527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处理预约、状态轮询、重启恢复和任务派发；浏览器关闭后任务仍可继续。</w:t>
            </w:r>
          </w:p>
        </w:tc>
      </w:tr>
      <w:tr>
        <w:trPr>
          <w:cantSplit/>
        </w:trPr>
        <w:tc>
          <w:tcPr>
            <w:tcW w:type="dxa" w:w="1587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实时更新 / 部署</w:t>
            </w:r>
          </w:p>
        </w:tc>
        <w:tc>
          <w:tcPr>
            <w:tcW w:type="dxa" w:w="2948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SSE + Docker Compose</w:t>
            </w:r>
          </w:p>
        </w:tc>
        <w:tc>
          <w:tcPr>
            <w:tcW w:type="dxa" w:w="527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SSE 推送任务状态，Compose 统一启动前端、API、Worker、Postgres、Mock Bank、Sandbox。</w:t>
            </w:r>
          </w:p>
        </w:tc>
      </w:tr>
      <w:tr>
        <w:trPr>
          <w:cantSplit/>
        </w:trPr>
        <w:tc>
          <w:tcPr>
            <w:tcW w:type="dxa" w:w="1587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代码沙箱</w:t>
            </w:r>
          </w:p>
        </w:tc>
        <w:tc>
          <w:tcPr>
            <w:tcW w:type="dxa" w:w="2948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隔离的无网络容器</w:t>
            </w:r>
          </w:p>
        </w:tc>
        <w:tc>
          <w:tcPr>
            <w:tcW w:type="dxa" w:w="527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仅对脱敏账单运行受限分析代码；无银行密钥，设置 CPU/内存/时间上限。</w:t>
            </w:r>
          </w:p>
        </w:tc>
      </w:tr>
    </w:tbl>
    <w:p>
      <w:pPr>
        <w:spacing w:after="0"/>
      </w:pPr>
    </w:p>
    <w:p>
      <w:pPr>
        <w:pStyle w:val="Heading2"/>
      </w:pPr>
      <w:r>
        <w:t>MVP 核心接口（由银行适配层统一抽象）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726"/>
      </w:tblGrid>
      <w:tr>
        <w:trPr>
          <w:cantSplit/>
          <w:tblHeader w:val="true"/>
        </w:trPr>
        <w:tc>
          <w:tcPr>
            <w:tcW w:type="dxa" w:w="4082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业务 API</w:t>
            </w:r>
          </w:p>
        </w:tc>
        <w:tc>
          <w:tcPr>
            <w:tcW w:type="dxa" w:w="5726"/>
            <w:shd w:fill="DDEEF1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/>
                <w:color w:val="10364F"/>
              </w:rPr>
              <w:t>关键契约</w:t>
            </w:r>
          </w:p>
        </w:tc>
      </w:tr>
      <w:tr>
        <w:trPr>
          <w:cantSplit/>
        </w:trPr>
        <w:tc>
          <w:tcPr>
            <w:tcW w:type="dxa" w:w="408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POST /api/chat；POST /api/plans/{id}/simulate</w:t>
            </w:r>
          </w:p>
        </w:tc>
        <w:tc>
          <w:tcPr>
            <w:tcW w:type="dxa" w:w="5726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生成待校验计划；重算现金流只读，不改变银行状态。</w:t>
            </w:r>
          </w:p>
        </w:tc>
      </w:tr>
      <w:tr>
        <w:trPr>
          <w:cantSplit/>
        </w:trPr>
        <w:tc>
          <w:tcPr>
            <w:tcW w:type="dxa" w:w="408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POST /api/operations/{id}/confirm / verify / execute</w:t>
            </w:r>
          </w:p>
        </w:tc>
        <w:tc>
          <w:tcPr>
            <w:tcW w:type="dxa" w:w="5726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服务端核对 plan_version、参数摘要与权限；写请求携带稳定幂等键。</w:t>
            </w:r>
          </w:p>
        </w:tc>
      </w:tr>
      <w:tr>
        <w:trPr>
          <w:cantSplit/>
        </w:trPr>
        <w:tc>
          <w:tcPr>
            <w:tcW w:type="dxa" w:w="4082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GET /api/operations/{id}；GET /api/events</w:t>
            </w:r>
          </w:p>
        </w:tc>
        <w:tc>
          <w:tcPr>
            <w:tcW w:type="dxa" w:w="5726"/>
            <w:tcBorders>
              <w:bottom w:val="single" w:sz="4" w:color="DFE8EC"/>
            </w:tcBorders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查询权威状态；SSE 更新，失败/未知状态能持续追踪。</w:t>
            </w:r>
          </w:p>
        </w:tc>
      </w:tr>
      <w:tr>
        <w:trPr>
          <w:cantSplit/>
        </w:trPr>
        <w:tc>
          <w:tcPr>
            <w:tcW w:type="dxa" w:w="4082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Bank Adapter: get_balance / submit_transfer / get_transfer_status / list_mandates / cancel_mandate</w:t>
            </w:r>
          </w:p>
        </w:tc>
        <w:tc>
          <w:tcPr>
            <w:tcW w:type="dxa" w:w="5726"/>
            <w:tcBorders>
              <w:bottom w:val="single" w:sz="4" w:color="DFE8EC"/>
            </w:tcBorders>
            <w:shd w:fill="F5F9FA"/>
            <w:vAlign w:val="center"/>
          </w:tcPr>
          <w:p>
            <w:pPr>
              <w:pStyle w:val="TableText"/>
              <w:spacing w:after="62" w:before="62"/>
            </w:pPr>
            <w:r>
              <w:rPr>
                <w:b w:val="0"/>
              </w:rPr>
              <w:t>同一套接口对接 Mock Bank，后续才替换官方银行 API；不支持的能力明确返回 unsupported。</w:t>
            </w:r>
          </w:p>
        </w:tc>
      </w:tr>
    </w:tbl>
    <w:p>
      <w:pPr>
        <w:spacing w:after="0"/>
      </w:pPr>
    </w:p>
    <w:p>
      <w:pPr>
        <w:pStyle w:val="Heading2"/>
      </w:pPr>
      <w:r>
        <w:t>明确不引入的首版复杂度</w:t>
      </w:r>
    </w:p>
    <w:p>
      <w:pPr/>
      <w:r>
        <w:t>暂不配置多 Agent 群、向量数据库、模型微调、Redis 任务队列或 Kubernetes；只有当实际性能测试与部署需求证明必要时再引入。优先把“转账—账单—代扣—目标规划”的工具闭环、三级权限、幂等核验和可重复评测做到可靠。</w:t>
      </w:r>
    </w:p>
    <w:p>
      <w:pPr>
        <w:pStyle w:val="Tiny"/>
        <w:spacing w:before="20"/>
      </w:pPr>
      <w:r>
        <w:t>以上是比赛演示架构，不等于生产银行部署通过验收。授权与 TOTP 原型、Mock Bank、移动 Web 渠道及受限沙箱认可范围，应依据组委会与银行正式接口要求确认。技术依据：原 19 页设计稿相应章节。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22" w:left="1049" w:header="386" w:footer="3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870"/>
        <w:sz w:val="14"/>
      </w:rPr>
      <w:t xml:space="preserve">国内赛道精简设计 v2.2  ·  2026-10-15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586870"/>
        <w:sz w:val="14"/>
      </w:rPr>
      <w:t>FUTURELEDGER    /    FINTECHATHON 2026 国内赛道 · AI BANKING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95" w:lineRule="auto"/>
    </w:pPr>
    <w:rPr>
      <w:rFonts w:ascii="Noto Sans CJK SC" w:hAnsi="Noto Sans CJK SC" w:eastAsia="Noto Sans CJK SC"/>
      <w:b w:val="0"/>
      <w:color w:val="222E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95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36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95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828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95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036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line="295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868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ny">
    <w:name w:val="Tiny"/>
    <w:pPr>
      <w:spacing w:after="110" w:line="295" w:lineRule="auto"/>
    </w:pPr>
    <w:rPr>
      <w:rFonts w:ascii="Noto Sans CJK SC" w:hAnsi="Noto Sans CJK SC" w:eastAsia="Noto Sans CJK SC"/>
      <w:b w:val="0"/>
      <w:color w:val="586870"/>
      <w:sz w:val="16"/>
    </w:rPr>
  </w:style>
  <w:style w:type="paragraph" w:customStyle="1" w:styleId="Callout">
    <w:name w:val="Callout"/>
    <w:pPr>
      <w:spacing w:after="110" w:line="295" w:lineRule="auto"/>
    </w:pPr>
    <w:rPr>
      <w:rFonts w:ascii="Noto Sans CJK SC" w:hAnsi="Noto Sans CJK SC" w:eastAsia="Noto Sans CJK SC"/>
      <w:b w:val="0"/>
      <w:color w:val="10364F"/>
      <w:sz w:val="21"/>
    </w:rPr>
  </w:style>
  <w:style w:type="paragraph" w:customStyle="1" w:styleId="TableText">
    <w:name w:val="TableText"/>
    <w:pPr>
      <w:spacing w:after="110" w:line="295" w:lineRule="auto"/>
    </w:pPr>
    <w:rPr>
      <w:rFonts w:ascii="Noto Sans CJK SC" w:hAnsi="Noto Sans CJK SC" w:eastAsia="Noto Sans CJK SC"/>
      <w:b w:val="0"/>
      <w:color w:val="222E3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FutureLedger — WeBank 国内赛道 AI Banking Agent 精简设计及软件架构 v2.2</dc:title>
  <dc:subject>WeBank 2026 FinTechathon 国内赛道：AI Banking Agent 软件架构与技术选型</dc:subject>
  <dc:creator>FutureLedger Team</dc:creator>
  <cp:keywords>FinTechathon; 微众银行; 国内赛道; AI Banking Agent; FutureLedger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