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BSIT/010J/2024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APP/2022/000020</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25-Aug-2022</w:t>
      </w:r>
    </w:p>
    <w:p w14:paraId="4E9BC4E9" w14:textId="77777777" w:rsidR="00D82F92" w:rsidRDefault="002857F2">
      <w:pPr>
        <w:ind w:left="-5" w:right="53" w:hanging="10"/>
      </w:pPr>
      <w:r>
        <w:rPr>
          <w:rFonts w:ascii="Arial" w:eastAsia="Arial" w:hAnsi="Arial" w:cs="Arial"/>
          <w:sz w:val="22"/>
          <w:lang w:val="en-US"/>
        </w:rPr>
        <w:t xml:space="preserve">NDUKU KAVUU GRACE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91 RUNYENJES</w:t>
      </w:r>
      <w:r w:rsidR="0078004E">
        <w:rPr>
          <w:rFonts w:ascii="Arial" w:eastAsia="Arial" w:hAnsi="Arial" w:cs="Arial"/>
          <w:sz w:val="22"/>
          <w:lang w:val="en-US"/>
        </w:rPr>
        <w:t xml:space="preserve"> - </w:t>
      </w:r>
      <w:r w:rsidR="00AF015C">
        <w:rPr>
          <w:rFonts w:ascii="Arial" w:eastAsia="Arial" w:hAnsi="Arial" w:cs="Arial"/>
          <w:sz w:val="22"/>
          <w:lang w:val="en-US"/>
        </w:rPr>
        <w:t>60105</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EMBU</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NDUKU KAVUU GRACE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Information Technology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