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PATRICK OCHIENG VICTOR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w:t>
      </w:r>
      <w:r w:rsidR="0078004E">
        <w:rPr>
          <w:rFonts w:ascii="Arial" w:eastAsia="Arial" w:hAnsi="Arial" w:cs="Arial"/>
          <w:sz w:val="22"/>
          <w:lang w:val="en-US"/>
        </w:rPr>
        <w:t xml:space="preserve"> - </w:t>
      </w:r>
      <w:r w:rsidR="00AF015C">
        <w:rPr>
          <w:rFonts w:ascii="Arial" w:eastAsia="Arial" w:hAnsi="Arial" w:cs="Arial"/>
          <w:sz w:val="22"/>
          <w:lang w:val="en-US"/>
        </w:rPr>
        <w:t>41107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MUHORONI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PATRICK OCHIENG VICTOR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